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55C6B2A" w14:textId="77777777" w:rsidR="00FD43D1" w:rsidRDefault="00FD43D1">
      <w:pPr>
        <w:spacing w:before="120" w:after="120" w:line="240" w:lineRule="auto"/>
        <w:jc w:val="center"/>
        <w:rPr>
          <w:rFonts w:ascii="Arial" w:eastAsia="Arial" w:hAnsi="Arial" w:cs="Arial"/>
        </w:rPr>
      </w:pPr>
    </w:p>
    <w:p w14:paraId="555C6B2B" w14:textId="77777777" w:rsidR="00FD43D1" w:rsidRDefault="00FD43D1">
      <w:pPr>
        <w:spacing w:before="120" w:after="120" w:line="240" w:lineRule="auto"/>
        <w:jc w:val="center"/>
        <w:rPr>
          <w:rFonts w:ascii="Arial" w:eastAsia="Arial" w:hAnsi="Arial" w:cs="Arial"/>
        </w:rPr>
      </w:pPr>
    </w:p>
    <w:p w14:paraId="555C6B2C" w14:textId="77777777" w:rsidR="00FD43D1" w:rsidRDefault="008B7F26">
      <w:pPr>
        <w:spacing w:before="120" w:after="120" w:line="240" w:lineRule="auto"/>
        <w:jc w:val="center"/>
        <w:rPr>
          <w:rFonts w:ascii="Arial" w:eastAsia="Arial" w:hAnsi="Arial" w:cs="Arial"/>
        </w:rPr>
      </w:pPr>
      <w:r>
        <w:rPr>
          <w:rFonts w:ascii="Arial" w:eastAsia="Arial" w:hAnsi="Arial" w:cs="Arial"/>
          <w:b/>
        </w:rPr>
        <w:t>CALL-OFF SCHEDULE 20 (CALL-OFF SPECIFICATION)</w:t>
      </w:r>
    </w:p>
    <w:p w14:paraId="555C6B2D" w14:textId="77777777" w:rsidR="00FD43D1" w:rsidRDefault="00FD43D1">
      <w:pPr>
        <w:spacing w:before="120" w:after="120" w:line="240" w:lineRule="auto"/>
        <w:jc w:val="center"/>
        <w:rPr>
          <w:rFonts w:ascii="Arial" w:eastAsia="Arial" w:hAnsi="Arial" w:cs="Arial"/>
        </w:rPr>
      </w:pPr>
    </w:p>
    <w:p w14:paraId="555C6B2E" w14:textId="77777777" w:rsidR="00FD43D1" w:rsidRDefault="008B7F26">
      <w:pPr>
        <w:spacing w:before="120" w:after="120" w:line="240" w:lineRule="auto"/>
        <w:jc w:val="center"/>
        <w:rPr>
          <w:rFonts w:ascii="Arial" w:eastAsia="Arial" w:hAnsi="Arial" w:cs="Arial"/>
        </w:rPr>
      </w:pPr>
      <w:r>
        <w:rPr>
          <w:rFonts w:ascii="Arial" w:eastAsia="Arial" w:hAnsi="Arial" w:cs="Arial"/>
          <w:b/>
          <w:color w:val="222222"/>
          <w:highlight w:val="white"/>
        </w:rPr>
        <w:t>TRAVEL &amp; VENUE SOLUTIONS</w:t>
      </w:r>
    </w:p>
    <w:p w14:paraId="555C6B2F" w14:textId="77777777" w:rsidR="00FD43D1" w:rsidRDefault="00FD43D1">
      <w:pPr>
        <w:spacing w:before="120" w:after="120" w:line="240" w:lineRule="auto"/>
        <w:jc w:val="center"/>
        <w:rPr>
          <w:rFonts w:ascii="Arial" w:eastAsia="Arial" w:hAnsi="Arial" w:cs="Arial"/>
        </w:rPr>
      </w:pPr>
    </w:p>
    <w:p w14:paraId="555C6B30" w14:textId="4772FD62" w:rsidR="00FD43D1" w:rsidRDefault="008B7F26">
      <w:pPr>
        <w:spacing w:before="120" w:after="120" w:line="240" w:lineRule="auto"/>
        <w:jc w:val="center"/>
        <w:rPr>
          <w:rFonts w:ascii="Arial" w:eastAsia="Arial" w:hAnsi="Arial" w:cs="Arial"/>
        </w:rPr>
      </w:pPr>
      <w:r>
        <w:rPr>
          <w:rFonts w:ascii="Arial" w:eastAsia="Arial" w:hAnsi="Arial" w:cs="Arial"/>
          <w:b/>
        </w:rPr>
        <w:t>REFERENCE NUMBER</w:t>
      </w:r>
      <w:r w:rsidR="008F38F8">
        <w:rPr>
          <w:rFonts w:ascii="Arial" w:eastAsia="Arial" w:hAnsi="Arial" w:cs="Arial"/>
          <w:b/>
        </w:rPr>
        <w:t xml:space="preserve">: </w:t>
      </w:r>
      <w:r w:rsidR="008F38F8" w:rsidRPr="008F38F8">
        <w:rPr>
          <w:rFonts w:ascii="Arial" w:eastAsia="Arial" w:hAnsi="Arial" w:cs="Arial"/>
          <w:b/>
        </w:rPr>
        <w:t>CCZX22A11</w:t>
      </w:r>
    </w:p>
    <w:p w14:paraId="555C6B31" w14:textId="77777777" w:rsidR="00FD43D1" w:rsidRDefault="00FD43D1">
      <w:pPr>
        <w:spacing w:before="120" w:after="120" w:line="240" w:lineRule="auto"/>
        <w:jc w:val="center"/>
        <w:rPr>
          <w:rFonts w:ascii="Arial" w:eastAsia="Arial" w:hAnsi="Arial" w:cs="Arial"/>
        </w:rPr>
      </w:pPr>
    </w:p>
    <w:p w14:paraId="555C6B32" w14:textId="77777777" w:rsidR="00FD43D1" w:rsidRDefault="008B7F26">
      <w:pPr>
        <w:spacing w:before="120" w:after="120" w:line="240" w:lineRule="auto"/>
        <w:jc w:val="center"/>
        <w:rPr>
          <w:rFonts w:ascii="Arial" w:eastAsia="Arial" w:hAnsi="Arial" w:cs="Arial"/>
        </w:rPr>
      </w:pPr>
      <w:r>
        <w:rPr>
          <w:rFonts w:ascii="Arial" w:eastAsia="Arial" w:hAnsi="Arial" w:cs="Arial"/>
          <w:b/>
        </w:rPr>
        <w:t>RM6217</w:t>
      </w:r>
    </w:p>
    <w:p w14:paraId="555C6B33" w14:textId="77777777" w:rsidR="00FD43D1" w:rsidRDefault="008B7F26">
      <w:pPr>
        <w:jc w:val="center"/>
        <w:rPr>
          <w:rFonts w:ascii="Arial" w:eastAsia="Arial" w:hAnsi="Arial" w:cs="Arial"/>
        </w:rPr>
      </w:pPr>
      <w:r>
        <w:br w:type="page"/>
      </w:r>
    </w:p>
    <w:p w14:paraId="555C6B34" w14:textId="77777777" w:rsidR="00FD43D1" w:rsidRDefault="008B7F26">
      <w:pPr>
        <w:jc w:val="center"/>
        <w:rPr>
          <w:rFonts w:ascii="Arial" w:eastAsia="Arial" w:hAnsi="Arial" w:cs="Arial"/>
          <w:b/>
        </w:rPr>
      </w:pPr>
      <w:r>
        <w:rPr>
          <w:rFonts w:ascii="Arial" w:eastAsia="Arial" w:hAnsi="Arial" w:cs="Arial"/>
          <w:b/>
        </w:rPr>
        <w:lastRenderedPageBreak/>
        <w:t>CONTENTS</w:t>
      </w:r>
    </w:p>
    <w:p w14:paraId="555C6B35" w14:textId="77777777" w:rsidR="00FD43D1" w:rsidRDefault="00FD43D1">
      <w:pPr>
        <w:pBdr>
          <w:top w:val="nil"/>
          <w:left w:val="nil"/>
          <w:bottom w:val="nil"/>
          <w:right w:val="nil"/>
          <w:between w:val="nil"/>
        </w:pBdr>
        <w:spacing w:before="240" w:after="240" w:line="240" w:lineRule="auto"/>
        <w:ind w:left="792" w:hanging="432"/>
        <w:jc w:val="both"/>
        <w:rPr>
          <w:rFonts w:ascii="Arial" w:eastAsia="Arial" w:hAnsi="Arial" w:cs="Arial"/>
          <w:b/>
          <w:color w:val="000000"/>
          <w:sz w:val="28"/>
          <w:szCs w:val="28"/>
        </w:rPr>
      </w:pPr>
    </w:p>
    <w:sdt>
      <w:sdtPr>
        <w:id w:val="-314561484"/>
        <w:docPartObj>
          <w:docPartGallery w:val="Table of Contents"/>
          <w:docPartUnique/>
        </w:docPartObj>
      </w:sdtPr>
      <w:sdtEndPr/>
      <w:sdtContent>
        <w:p w14:paraId="555C6B36" w14:textId="77777777" w:rsidR="00FD43D1" w:rsidRDefault="008B7F26">
          <w:pPr>
            <w:pBdr>
              <w:top w:val="nil"/>
              <w:left w:val="nil"/>
              <w:bottom w:val="nil"/>
              <w:right w:val="nil"/>
              <w:between w:val="nil"/>
            </w:pBdr>
            <w:tabs>
              <w:tab w:val="left" w:pos="660"/>
              <w:tab w:val="right" w:pos="8896"/>
            </w:tabs>
            <w:spacing w:after="100"/>
            <w:ind w:left="220"/>
            <w:rPr>
              <w:rFonts w:ascii="Arial" w:eastAsia="Arial" w:hAnsi="Arial" w:cs="Arial"/>
              <w:color w:val="000000"/>
            </w:rPr>
          </w:pPr>
          <w:r>
            <w:fldChar w:fldCharType="begin"/>
          </w:r>
          <w:r>
            <w:instrText xml:space="preserve"> TOC \h \u \z </w:instrText>
          </w:r>
          <w:r>
            <w:fldChar w:fldCharType="separate"/>
          </w:r>
          <w:hyperlink w:anchor="_heading=h.30j0zll">
            <w:r>
              <w:rPr>
                <w:rFonts w:ascii="Arial" w:eastAsia="Arial" w:hAnsi="Arial" w:cs="Arial"/>
                <w:b/>
                <w:color w:val="000000"/>
              </w:rPr>
              <w:t>1.</w:t>
            </w:r>
          </w:hyperlink>
          <w:hyperlink w:anchor="_heading=h.30j0zll">
            <w:r>
              <w:rPr>
                <w:rFonts w:ascii="Arial" w:eastAsia="Arial" w:hAnsi="Arial" w:cs="Arial"/>
                <w:color w:val="000000"/>
              </w:rPr>
              <w:tab/>
            </w:r>
          </w:hyperlink>
          <w:r>
            <w:fldChar w:fldCharType="begin"/>
          </w:r>
          <w:r>
            <w:instrText xml:space="preserve"> PAGEREF _heading=h.30j0zll \h </w:instrText>
          </w:r>
          <w:r>
            <w:fldChar w:fldCharType="separate"/>
          </w:r>
          <w:r>
            <w:rPr>
              <w:rFonts w:ascii="Arial" w:eastAsia="Arial" w:hAnsi="Arial" w:cs="Arial"/>
              <w:b/>
              <w:color w:val="000000"/>
            </w:rPr>
            <w:t>INTRODUCTION</w:t>
          </w:r>
          <w:r>
            <w:rPr>
              <w:rFonts w:ascii="Arial" w:eastAsia="Arial" w:hAnsi="Arial" w:cs="Arial"/>
              <w:color w:val="000000"/>
            </w:rPr>
            <w:tab/>
            <w:t>3</w:t>
          </w:r>
          <w:r>
            <w:fldChar w:fldCharType="end"/>
          </w:r>
        </w:p>
        <w:p w14:paraId="555C6B37"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znysh7">
            <w:r w:rsidR="008B7F26">
              <w:rPr>
                <w:rFonts w:ascii="Arial" w:eastAsia="Arial" w:hAnsi="Arial" w:cs="Arial"/>
                <w:b/>
                <w:color w:val="000000"/>
              </w:rPr>
              <w:t>2.</w:t>
            </w:r>
          </w:hyperlink>
          <w:hyperlink w:anchor="_heading=h.3znysh7">
            <w:r w:rsidR="008B7F26">
              <w:rPr>
                <w:rFonts w:ascii="Arial" w:eastAsia="Arial" w:hAnsi="Arial" w:cs="Arial"/>
                <w:color w:val="000000"/>
              </w:rPr>
              <w:tab/>
            </w:r>
          </w:hyperlink>
          <w:r w:rsidR="008B7F26">
            <w:fldChar w:fldCharType="begin"/>
          </w:r>
          <w:r w:rsidR="008B7F26">
            <w:instrText xml:space="preserve"> PAGEREF _heading=h.3znysh7 \h </w:instrText>
          </w:r>
          <w:r w:rsidR="008B7F26">
            <w:fldChar w:fldCharType="separate"/>
          </w:r>
          <w:r w:rsidR="008B7F26">
            <w:rPr>
              <w:rFonts w:ascii="Arial" w:eastAsia="Arial" w:hAnsi="Arial" w:cs="Arial"/>
              <w:b/>
              <w:color w:val="000000"/>
            </w:rPr>
            <w:t>THE LOTS</w:t>
          </w:r>
          <w:r w:rsidR="008B7F26">
            <w:rPr>
              <w:rFonts w:ascii="Arial" w:eastAsia="Arial" w:hAnsi="Arial" w:cs="Arial"/>
              <w:color w:val="000000"/>
            </w:rPr>
            <w:tab/>
            <w:t>3</w:t>
          </w:r>
          <w:r w:rsidR="008B7F26">
            <w:fldChar w:fldCharType="end"/>
          </w:r>
        </w:p>
        <w:p w14:paraId="555C6B38"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rdcrjn">
            <w:r w:rsidR="008B7F26">
              <w:rPr>
                <w:rFonts w:ascii="Arial" w:eastAsia="Arial" w:hAnsi="Arial" w:cs="Arial"/>
                <w:b/>
                <w:color w:val="000000"/>
              </w:rPr>
              <w:t>3.</w:t>
            </w:r>
          </w:hyperlink>
          <w:hyperlink w:anchor="_heading=h.3rdcrjn">
            <w:r w:rsidR="008B7F26">
              <w:rPr>
                <w:rFonts w:ascii="Arial" w:eastAsia="Arial" w:hAnsi="Arial" w:cs="Arial"/>
                <w:color w:val="000000"/>
              </w:rPr>
              <w:tab/>
            </w:r>
          </w:hyperlink>
          <w:r w:rsidR="008B7F26">
            <w:fldChar w:fldCharType="begin"/>
          </w:r>
          <w:r w:rsidR="008B7F26">
            <w:instrText xml:space="preserve"> PAGEREF _heading=h.3rdcrjn \h </w:instrText>
          </w:r>
          <w:r w:rsidR="008B7F26">
            <w:fldChar w:fldCharType="separate"/>
          </w:r>
          <w:r w:rsidR="008B7F26">
            <w:rPr>
              <w:rFonts w:ascii="Arial" w:eastAsia="Arial" w:hAnsi="Arial" w:cs="Arial"/>
              <w:b/>
              <w:color w:val="000000"/>
            </w:rPr>
            <w:t>MANDATORY SERVICE REQUIREMENTS ALL LOTS</w:t>
          </w:r>
          <w:r w:rsidR="008B7F26">
            <w:rPr>
              <w:rFonts w:ascii="Arial" w:eastAsia="Arial" w:hAnsi="Arial" w:cs="Arial"/>
              <w:color w:val="000000"/>
            </w:rPr>
            <w:tab/>
            <w:t>3</w:t>
          </w:r>
          <w:r w:rsidR="008B7F26">
            <w:fldChar w:fldCharType="end"/>
          </w:r>
        </w:p>
        <w:p w14:paraId="555C6B39"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26in1rg">
            <w:r w:rsidR="008B7F26">
              <w:rPr>
                <w:rFonts w:ascii="Arial" w:eastAsia="Arial" w:hAnsi="Arial" w:cs="Arial"/>
                <w:b/>
                <w:color w:val="000000"/>
              </w:rPr>
              <w:t>4.</w:t>
            </w:r>
          </w:hyperlink>
          <w:hyperlink w:anchor="_heading=h.26in1rg">
            <w:r w:rsidR="008B7F26">
              <w:rPr>
                <w:rFonts w:ascii="Arial" w:eastAsia="Arial" w:hAnsi="Arial" w:cs="Arial"/>
                <w:color w:val="000000"/>
              </w:rPr>
              <w:tab/>
            </w:r>
          </w:hyperlink>
          <w:r w:rsidR="008B7F26">
            <w:fldChar w:fldCharType="begin"/>
          </w:r>
          <w:r w:rsidR="008B7F26">
            <w:instrText xml:space="preserve"> PAGEREF _heading=h.26in1rg \h </w:instrText>
          </w:r>
          <w:r w:rsidR="008B7F26">
            <w:fldChar w:fldCharType="separate"/>
          </w:r>
          <w:r w:rsidR="008B7F26">
            <w:rPr>
              <w:rFonts w:ascii="Arial" w:eastAsia="Arial" w:hAnsi="Arial" w:cs="Arial"/>
              <w:b/>
              <w:color w:val="000000"/>
            </w:rPr>
            <w:t>MANDATORY SERVICE REQUIREMENTS: LOTS 1-3</w:t>
          </w:r>
          <w:r w:rsidR="008B7F26">
            <w:rPr>
              <w:rFonts w:ascii="Arial" w:eastAsia="Arial" w:hAnsi="Arial" w:cs="Arial"/>
              <w:color w:val="000000"/>
            </w:rPr>
            <w:tab/>
            <w:t>10</w:t>
          </w:r>
          <w:r w:rsidR="008B7F26">
            <w:fldChar w:fldCharType="end"/>
          </w:r>
        </w:p>
        <w:p w14:paraId="555C6B3A"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lnxbz9">
            <w:r w:rsidR="008B7F26">
              <w:rPr>
                <w:rFonts w:ascii="Arial" w:eastAsia="Arial" w:hAnsi="Arial" w:cs="Arial"/>
                <w:b/>
                <w:color w:val="000000"/>
              </w:rPr>
              <w:t>5.</w:t>
            </w:r>
          </w:hyperlink>
          <w:hyperlink w:anchor="_heading=h.lnxbz9">
            <w:r w:rsidR="008B7F26">
              <w:rPr>
                <w:rFonts w:ascii="Arial" w:eastAsia="Arial" w:hAnsi="Arial" w:cs="Arial"/>
                <w:color w:val="000000"/>
              </w:rPr>
              <w:tab/>
            </w:r>
          </w:hyperlink>
          <w:r w:rsidR="008B7F26">
            <w:fldChar w:fldCharType="begin"/>
          </w:r>
          <w:r w:rsidR="008B7F26">
            <w:instrText xml:space="preserve"> PAGEREF _heading=h.lnxbz9 \h </w:instrText>
          </w:r>
          <w:r w:rsidR="008B7F26">
            <w:fldChar w:fldCharType="separate"/>
          </w:r>
          <w:r w:rsidR="008B7F26">
            <w:rPr>
              <w:rFonts w:ascii="Arial" w:eastAsia="Arial" w:hAnsi="Arial" w:cs="Arial"/>
              <w:b/>
              <w:color w:val="000000"/>
            </w:rPr>
            <w:t>LOT 1: BOOKING SOLUTIONS UK POINTS OF SALE - LOW TOUCH</w:t>
          </w:r>
          <w:r w:rsidR="008B7F26">
            <w:rPr>
              <w:rFonts w:ascii="Arial" w:eastAsia="Arial" w:hAnsi="Arial" w:cs="Arial"/>
              <w:color w:val="000000"/>
            </w:rPr>
            <w:tab/>
            <w:t>23</w:t>
          </w:r>
          <w:r w:rsidR="008B7F26">
            <w:fldChar w:fldCharType="end"/>
          </w:r>
        </w:p>
        <w:p w14:paraId="555C6B3B"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5nkun2">
            <w:r w:rsidR="008B7F26">
              <w:rPr>
                <w:rFonts w:ascii="Arial" w:eastAsia="Arial" w:hAnsi="Arial" w:cs="Arial"/>
                <w:b/>
                <w:color w:val="000000"/>
              </w:rPr>
              <w:t>6.</w:t>
            </w:r>
          </w:hyperlink>
          <w:hyperlink w:anchor="_heading=h.35nkun2">
            <w:r w:rsidR="008B7F26">
              <w:rPr>
                <w:rFonts w:ascii="Arial" w:eastAsia="Arial" w:hAnsi="Arial" w:cs="Arial"/>
                <w:color w:val="000000"/>
              </w:rPr>
              <w:tab/>
            </w:r>
          </w:hyperlink>
          <w:r w:rsidR="008B7F26">
            <w:fldChar w:fldCharType="begin"/>
          </w:r>
          <w:r w:rsidR="008B7F26">
            <w:instrText xml:space="preserve"> PAGEREF _heading=h.35nkun2 \h </w:instrText>
          </w:r>
          <w:r w:rsidR="008B7F26">
            <w:fldChar w:fldCharType="separate"/>
          </w:r>
          <w:r w:rsidR="008B7F26">
            <w:rPr>
              <w:rFonts w:ascii="Arial" w:eastAsia="Arial" w:hAnsi="Arial" w:cs="Arial"/>
              <w:b/>
              <w:color w:val="000000"/>
            </w:rPr>
            <w:t>LOT 2: BOOKING SOLUTIONS UK &amp; OVERSEAS POINTS OF SALE - HIGH TOUCH</w:t>
          </w:r>
          <w:r w:rsidR="008B7F26">
            <w:rPr>
              <w:rFonts w:ascii="Arial" w:eastAsia="Arial" w:hAnsi="Arial" w:cs="Arial"/>
              <w:color w:val="000000"/>
            </w:rPr>
            <w:tab/>
            <w:t>24</w:t>
          </w:r>
          <w:r w:rsidR="008B7F26">
            <w:fldChar w:fldCharType="end"/>
          </w:r>
        </w:p>
        <w:p w14:paraId="555C6B3C"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1ksv4uv">
            <w:r w:rsidR="008B7F26">
              <w:rPr>
                <w:rFonts w:ascii="Arial" w:eastAsia="Arial" w:hAnsi="Arial" w:cs="Arial"/>
                <w:b/>
                <w:color w:val="000000"/>
              </w:rPr>
              <w:t>7.</w:t>
            </w:r>
          </w:hyperlink>
          <w:hyperlink w:anchor="_heading=h.1ksv4uv">
            <w:r w:rsidR="008B7F26">
              <w:rPr>
                <w:rFonts w:ascii="Arial" w:eastAsia="Arial" w:hAnsi="Arial" w:cs="Arial"/>
                <w:color w:val="000000"/>
              </w:rPr>
              <w:tab/>
            </w:r>
          </w:hyperlink>
          <w:r w:rsidR="008B7F26">
            <w:fldChar w:fldCharType="begin"/>
          </w:r>
          <w:r w:rsidR="008B7F26">
            <w:instrText xml:space="preserve"> PAGEREF _heading=h.1ksv4uv \h </w:instrText>
          </w:r>
          <w:r w:rsidR="008B7F26">
            <w:fldChar w:fldCharType="separate"/>
          </w:r>
          <w:r w:rsidR="008B7F26">
            <w:rPr>
              <w:rFonts w:ascii="Arial" w:eastAsia="Arial" w:hAnsi="Arial" w:cs="Arial"/>
              <w:b/>
              <w:color w:val="000000"/>
            </w:rPr>
            <w:t>LOT 3: BOOKING SOLUTIONS SPECIALIST NEEDS</w:t>
          </w:r>
          <w:r w:rsidR="008B7F26">
            <w:rPr>
              <w:rFonts w:ascii="Arial" w:eastAsia="Arial" w:hAnsi="Arial" w:cs="Arial"/>
              <w:color w:val="000000"/>
            </w:rPr>
            <w:tab/>
            <w:t>30</w:t>
          </w:r>
          <w:r w:rsidR="008B7F26">
            <w:fldChar w:fldCharType="end"/>
          </w:r>
        </w:p>
        <w:p w14:paraId="555C6B3D" w14:textId="77777777" w:rsidR="00FD43D1" w:rsidRDefault="0012498F">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44sinio">
            <w:r w:rsidR="008B7F26">
              <w:rPr>
                <w:rFonts w:ascii="Arial" w:eastAsia="Arial" w:hAnsi="Arial" w:cs="Arial"/>
                <w:b/>
                <w:color w:val="000000"/>
              </w:rPr>
              <w:t>8.</w:t>
            </w:r>
          </w:hyperlink>
          <w:hyperlink w:anchor="_heading=h.44sinio">
            <w:r w:rsidR="008B7F26">
              <w:rPr>
                <w:rFonts w:ascii="Arial" w:eastAsia="Arial" w:hAnsi="Arial" w:cs="Arial"/>
                <w:color w:val="000000"/>
              </w:rPr>
              <w:tab/>
            </w:r>
          </w:hyperlink>
          <w:r w:rsidR="008B7F26">
            <w:fldChar w:fldCharType="begin"/>
          </w:r>
          <w:r w:rsidR="008B7F26">
            <w:instrText xml:space="preserve"> PAGEREF _heading=h.44sinio \h </w:instrText>
          </w:r>
          <w:r w:rsidR="008B7F26">
            <w:fldChar w:fldCharType="separate"/>
          </w:r>
          <w:r w:rsidR="008B7F26">
            <w:rPr>
              <w:rFonts w:ascii="Arial" w:eastAsia="Arial" w:hAnsi="Arial" w:cs="Arial"/>
              <w:b/>
              <w:color w:val="000000"/>
            </w:rPr>
            <w:t>LOT 4: BOOKING SOLUTIONS VENUES &amp; EVENTS</w:t>
          </w:r>
          <w:r w:rsidR="008B7F26">
            <w:rPr>
              <w:rFonts w:ascii="Arial" w:eastAsia="Arial" w:hAnsi="Arial" w:cs="Arial"/>
              <w:color w:val="000000"/>
            </w:rPr>
            <w:tab/>
            <w:t>43</w:t>
          </w:r>
          <w:r w:rsidR="008B7F26">
            <w:fldChar w:fldCharType="end"/>
          </w:r>
        </w:p>
        <w:p w14:paraId="555C6B3E" w14:textId="77777777" w:rsidR="00FD43D1" w:rsidRDefault="008B7F26">
          <w:pPr>
            <w:tabs>
              <w:tab w:val="left" w:pos="851"/>
              <w:tab w:val="right" w:pos="8905"/>
            </w:tabs>
            <w:spacing w:before="240" w:after="240" w:line="240" w:lineRule="auto"/>
            <w:ind w:left="851" w:hanging="709"/>
            <w:rPr>
              <w:rFonts w:ascii="Arial" w:eastAsia="Arial" w:hAnsi="Arial" w:cs="Arial"/>
              <w:b/>
              <w:color w:val="000000"/>
            </w:rPr>
          </w:pPr>
          <w:r>
            <w:fldChar w:fldCharType="end"/>
          </w:r>
        </w:p>
      </w:sdtContent>
    </w:sdt>
    <w:p w14:paraId="555C6B3F" w14:textId="77777777" w:rsidR="00FD43D1" w:rsidRDefault="008B7F26">
      <w:pPr>
        <w:spacing w:before="120" w:after="120" w:line="240" w:lineRule="auto"/>
        <w:rPr>
          <w:rFonts w:ascii="Arial" w:eastAsia="Arial" w:hAnsi="Arial" w:cs="Arial"/>
        </w:rPr>
      </w:pPr>
      <w:bookmarkStart w:id="0" w:name="_heading=h.gjdgxs" w:colFirst="0" w:colLast="0"/>
      <w:bookmarkEnd w:id="0"/>
      <w:r>
        <w:br w:type="page"/>
      </w:r>
    </w:p>
    <w:p w14:paraId="555C6B40" w14:textId="77777777" w:rsidR="00FD43D1" w:rsidRDefault="008B7F26">
      <w:pPr>
        <w:pBdr>
          <w:top w:val="nil"/>
          <w:left w:val="nil"/>
          <w:bottom w:val="nil"/>
          <w:right w:val="nil"/>
          <w:between w:val="nil"/>
        </w:pBdr>
        <w:spacing w:before="120" w:after="600" w:line="240" w:lineRule="auto"/>
        <w:jc w:val="center"/>
        <w:rPr>
          <w:rFonts w:ascii="Arial" w:eastAsia="Arial" w:hAnsi="Arial" w:cs="Arial"/>
          <w:b/>
        </w:rPr>
      </w:pPr>
      <w:r>
        <w:rPr>
          <w:rFonts w:ascii="Arial" w:eastAsia="Arial" w:hAnsi="Arial" w:cs="Arial"/>
          <w:b/>
          <w:color w:val="222222"/>
          <w:highlight w:val="white"/>
        </w:rPr>
        <w:lastRenderedPageBreak/>
        <w:t>TRAVEL &amp; VENUE SOLUTION</w:t>
      </w:r>
      <w:bookmarkStart w:id="1" w:name="bookmark=id.30j0zll" w:colFirst="0" w:colLast="0"/>
      <w:bookmarkEnd w:id="1"/>
      <w:r>
        <w:rPr>
          <w:rFonts w:ascii="Arial" w:eastAsia="Arial" w:hAnsi="Arial" w:cs="Arial"/>
          <w:b/>
          <w:color w:val="222222"/>
          <w:highlight w:val="white"/>
        </w:rPr>
        <w:t>S</w:t>
      </w:r>
      <w:r>
        <w:rPr>
          <w:rFonts w:ascii="Arial" w:eastAsia="Arial" w:hAnsi="Arial" w:cs="Arial"/>
          <w:b/>
          <w:color w:val="000000"/>
        </w:rPr>
        <w:t xml:space="preserve"> CALL-OFF SCHEDULE 20</w:t>
      </w:r>
      <w:r>
        <w:rPr>
          <w:rFonts w:ascii="Arial" w:eastAsia="Arial" w:hAnsi="Arial" w:cs="Arial"/>
          <w:b/>
        </w:rPr>
        <w:t xml:space="preserve"> (CALL-OFF </w:t>
      </w:r>
      <w:r>
        <w:rPr>
          <w:rFonts w:ascii="Arial" w:eastAsia="Arial" w:hAnsi="Arial" w:cs="Arial"/>
          <w:b/>
          <w:color w:val="000000"/>
        </w:rPr>
        <w:t>SPECIFICAT</w:t>
      </w:r>
      <w:r>
        <w:rPr>
          <w:rFonts w:ascii="Arial" w:eastAsia="Arial" w:hAnsi="Arial" w:cs="Arial"/>
          <w:b/>
        </w:rPr>
        <w:t>ION)</w:t>
      </w:r>
    </w:p>
    <w:p w14:paraId="555C6B41" w14:textId="77777777" w:rsidR="00FD43D1" w:rsidRDefault="008B7F26">
      <w:pPr>
        <w:pStyle w:val="Heading2"/>
        <w:numPr>
          <w:ilvl w:val="0"/>
          <w:numId w:val="5"/>
        </w:numPr>
        <w:spacing w:before="240"/>
        <w:ind w:left="851" w:hanging="851"/>
        <w:rPr>
          <w:sz w:val="22"/>
          <w:szCs w:val="22"/>
        </w:rPr>
      </w:pPr>
      <w:bookmarkStart w:id="2" w:name="_heading=h.30j0zll" w:colFirst="0" w:colLast="0"/>
      <w:bookmarkEnd w:id="2"/>
      <w:r>
        <w:rPr>
          <w:b/>
          <w:sz w:val="22"/>
          <w:szCs w:val="22"/>
        </w:rPr>
        <w:t>INTRODUCTION</w:t>
      </w:r>
    </w:p>
    <w:p w14:paraId="555C6B42" w14:textId="77777777" w:rsidR="00FD43D1" w:rsidRDefault="008B7F26">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color w:val="000000"/>
        </w:rPr>
        <w:t xml:space="preserve">The purpose of this document is to provide a description of the Services for each of the Lots and related Deliverables that the Supplier may be required to provide to the </w:t>
      </w:r>
      <w:r>
        <w:rPr>
          <w:rFonts w:ascii="Arial" w:eastAsia="Arial" w:hAnsi="Arial" w:cs="Arial"/>
        </w:rPr>
        <w:t>Buyer</w:t>
      </w:r>
      <w:r>
        <w:rPr>
          <w:rFonts w:ascii="Arial" w:eastAsia="Arial" w:hAnsi="Arial" w:cs="Arial"/>
          <w:color w:val="000000"/>
        </w:rPr>
        <w:t xml:space="preserve"> as specified under the Call-Off Contract as set out or referred to in the Order Form.</w:t>
      </w:r>
    </w:p>
    <w:p w14:paraId="555C6B43"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For all Lots and/or Deliverables, the Supplier must help the Buyer comply with any specific applicable Standards of the Buyer.</w:t>
      </w:r>
    </w:p>
    <w:p w14:paraId="555C6B44" w14:textId="77777777" w:rsidR="00FD43D1" w:rsidRDefault="008B7F26">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Definitions</w:t>
      </w:r>
    </w:p>
    <w:p w14:paraId="555C6B45"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In this Schedule certain words set out in Annex 1 (Supplementary Definitions) to this Schedule shall have the meanings given in Annex 1 (Supplementary Definitions) and these defined terms shall supplement Joint Schedule 1 (Definitions).</w:t>
      </w:r>
    </w:p>
    <w:p w14:paraId="555C6B46" w14:textId="77777777" w:rsidR="00FD43D1" w:rsidRDefault="008B7F26">
      <w:pPr>
        <w:pStyle w:val="Heading2"/>
        <w:numPr>
          <w:ilvl w:val="0"/>
          <w:numId w:val="5"/>
        </w:numPr>
        <w:spacing w:before="360"/>
        <w:ind w:left="850" w:hanging="788"/>
        <w:rPr>
          <w:sz w:val="22"/>
          <w:szCs w:val="22"/>
        </w:rPr>
      </w:pPr>
      <w:bookmarkStart w:id="3" w:name="_heading=h.3znysh7" w:colFirst="0" w:colLast="0"/>
      <w:bookmarkEnd w:id="3"/>
      <w:r>
        <w:rPr>
          <w:b/>
          <w:sz w:val="22"/>
          <w:szCs w:val="22"/>
        </w:rPr>
        <w:t>THE LOTS</w:t>
      </w:r>
    </w:p>
    <w:p w14:paraId="555C6B47"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Services are divided into four Lots:</w:t>
      </w:r>
    </w:p>
    <w:p w14:paraId="555C6B48"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Points of Sale - Low touch;</w:t>
      </w:r>
    </w:p>
    <w:p w14:paraId="555C6B49"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&amp; Overseas Points of Sale - High touch;</w:t>
      </w:r>
    </w:p>
    <w:p w14:paraId="555C6B4A"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Specialist Needs; and</w:t>
      </w:r>
    </w:p>
    <w:p w14:paraId="555C6B4B"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Venues &amp; Events.</w:t>
      </w:r>
    </w:p>
    <w:p w14:paraId="555C6B4C"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requirements for the Services within each Lot are contained in paragraphs 3 to 8 of this Call-Off Specification. The Order Form shall specify which of these Lots are required under the Call-Off Contract. The Buyer may require other similar Services, which will be detailed in the Statement of Requirements in accordance with the Call-Off Procedure and set out or referred to in the Order Form.</w:t>
      </w:r>
    </w:p>
    <w:p w14:paraId="555C6B4D"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minimum Service standards and Service Levels that will apply to the Supplier’s performance of the Services for each relevant Lot are set out in Call-Off Schedule 14 (Service Levels) of the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p>
    <w:p w14:paraId="555C6B4E" w14:textId="77777777" w:rsidR="00FD43D1" w:rsidRDefault="008B7F26">
      <w:pPr>
        <w:pStyle w:val="Heading2"/>
        <w:numPr>
          <w:ilvl w:val="0"/>
          <w:numId w:val="5"/>
        </w:numPr>
        <w:spacing w:before="360"/>
        <w:ind w:left="850" w:hanging="788"/>
        <w:rPr>
          <w:b/>
          <w:sz w:val="22"/>
          <w:szCs w:val="22"/>
        </w:rPr>
      </w:pPr>
      <w:bookmarkStart w:id="4" w:name="_heading=h.3rdcrjn" w:colFirst="0" w:colLast="0"/>
      <w:bookmarkEnd w:id="4"/>
      <w:r>
        <w:rPr>
          <w:b/>
          <w:sz w:val="22"/>
          <w:szCs w:val="22"/>
        </w:rPr>
        <w:t>MANDATORY SERVICE REQUIREMENTS ALL LOTS</w:t>
      </w:r>
    </w:p>
    <w:p w14:paraId="555C6B4F" w14:textId="77777777" w:rsidR="00FD43D1" w:rsidRDefault="008B7F26">
      <w:pPr>
        <w:keepNext/>
        <w:pBdr>
          <w:top w:val="nil"/>
          <w:left w:val="nil"/>
          <w:bottom w:val="nil"/>
          <w:right w:val="nil"/>
          <w:between w:val="nil"/>
        </w:pBdr>
        <w:spacing w:before="120" w:after="0" w:line="240" w:lineRule="auto"/>
        <w:ind w:left="851"/>
        <w:jc w:val="both"/>
        <w:rPr>
          <w:rFonts w:ascii="Arial" w:eastAsia="Arial" w:hAnsi="Arial" w:cs="Arial"/>
          <w:b/>
          <w:color w:val="000000"/>
        </w:rPr>
      </w:pPr>
      <w:r>
        <w:rPr>
          <w:rFonts w:ascii="Arial" w:eastAsia="Arial" w:hAnsi="Arial" w:cs="Arial"/>
          <w:b/>
          <w:color w:val="000000"/>
        </w:rPr>
        <w:t>Booking Amendments, Exchanges, Cancellations and Refund Requirements</w:t>
      </w:r>
    </w:p>
    <w:p w14:paraId="555C6B50"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offer an online booking amendment, exchange cancellation and refund solution or an alternative solution for amendment, exchange cancellation and refund solution e.g. offline.</w:t>
      </w:r>
    </w:p>
    <w:p w14:paraId="555C6B51"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process all online or offline requests to amend, exchange, cancel or refund a prepaid booking from the Buyer. This shall be undertaken in accordance with the carriers and/or accommodation venue providers and/or TOC’s terms and conditions of booking. The Buyer shall not incur charges due to delays in the Supplier’s process to amend exchange and or cancel a booking.</w:t>
      </w:r>
    </w:p>
    <w:p w14:paraId="555C6B52"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lastRenderedPageBreak/>
        <w:t>The Online Booking Solution shall provide email confirmation to the Booker and/or Traveller of any amendments and/or cancellations made online.</w:t>
      </w:r>
    </w:p>
    <w:p w14:paraId="555C6B53"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14:paraId="555C6B54"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a process for the Buyer to claim for delays to train journeys via the Supplier in accordance with the Buyer’s requirements.</w:t>
      </w:r>
    </w:p>
    <w:p w14:paraId="555C6B55"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as part of the Offline Booking Solution, a facility to amend the Traveller name whilst keeping the original booking if allowed by the fare/rate terms of conditions.</w:t>
      </w:r>
    </w:p>
    <w:p w14:paraId="555C6B56"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amendment/exchange/cancellation/refund process shall include an acknowledgement of receipt of refund requests sent by post from the Buyer to the Supplier.</w:t>
      </w:r>
    </w:p>
    <w:p w14:paraId="555C6B57"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Supplier shall check whether tickets have been used and shall provide the Buyer with a refund process automatically. The Supplier shall provide the Buyer with Monthly refund data.</w:t>
      </w:r>
    </w:p>
    <w:p w14:paraId="555C6B58"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air, the Supplier shall check whether e-tickets have been used and shall provide the Buyer with a refund process automatically. The Supplier shall provide the Buyer with Monthly refund data.</w:t>
      </w:r>
    </w:p>
    <w:p w14:paraId="555C6B59"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accommodation, the offline cancellation process shall provide an emailed confirmation of cancellation as soon as possible and within a maximum of 1 hour of the cancellation call or email sent by the Traveller.</w:t>
      </w:r>
    </w:p>
    <w:p w14:paraId="555C6B5A"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venue find only, the Supplier shall process all requests to amend, cancel or refund a booking from the Buyer. This shall be undertaken in accordance with the CCS Preferred Venue Terms and Conditions or the venue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14:paraId="555C6B5B" w14:textId="77777777" w:rsidR="00FD43D1" w:rsidRDefault="008B7F26">
      <w:pPr>
        <w:numPr>
          <w:ilvl w:val="1"/>
          <w:numId w:val="5"/>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color w:val="000000"/>
        </w:rPr>
        <w:t>If the booking requires pre-trip approval, any change to the booking that increases the overall cost to the Buyer will also require pre-trip approval.</w:t>
      </w:r>
    </w:p>
    <w:p w14:paraId="555C6B5C"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Payments and Invoicing Requirements</w:t>
      </w:r>
    </w:p>
    <w:p w14:paraId="555C6B5D" w14:textId="77777777" w:rsidR="00FD43D1" w:rsidRDefault="008B7F26">
      <w:pPr>
        <w:keepNext/>
        <w:numPr>
          <w:ilvl w:val="1"/>
          <w:numId w:val="5"/>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rPr>
        <w:t>The Supplier’s Online Booking Solution and Offline Booking Solution(s) shall have the ability to support the payment options as directed by the Buyer to include, but not limited to:</w:t>
      </w:r>
    </w:p>
    <w:p w14:paraId="555C6B5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corporate payment cards, including virtual credit cards;</w:t>
      </w:r>
    </w:p>
    <w:p w14:paraId="555C6B5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invoice feeder files as a method of invoicing;</w:t>
      </w:r>
    </w:p>
    <w:p w14:paraId="555C6B60"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billing to project and or cost centre codes;</w:t>
      </w:r>
    </w:p>
    <w:p w14:paraId="555C6B61"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lodge cards / enhanced lodge card;</w:t>
      </w:r>
    </w:p>
    <w:p w14:paraId="555C6B6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consolidated invoice accounts, for example 10 or 30 days;</w:t>
      </w:r>
    </w:p>
    <w:p w14:paraId="555C6B6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individual and / or single bill back, for example not consolidated invoice; and</w:t>
      </w:r>
    </w:p>
    <w:p w14:paraId="555C6B64"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payment on departure by Traveller for accommodation and/or venue bookings.</w:t>
      </w:r>
    </w:p>
    <w:p w14:paraId="555C6B65" w14:textId="77777777" w:rsidR="00FD43D1" w:rsidRDefault="008B7F26">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card payment processes as required at no additional cost to the Buyer.</w:t>
      </w:r>
    </w:p>
    <w:p w14:paraId="555C6B66" w14:textId="77777777" w:rsidR="00FD43D1" w:rsidRDefault="008B7F26">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an integrated expenses process as required at no additional cost to the Buyer.</w:t>
      </w:r>
    </w:p>
    <w:p w14:paraId="555C6B67"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acceptance of payment by purchasing card, the Supplier shall only surcharge the Buyer the direct cost borne as a result of the Buyer using the given means of payment. The Supplier shall not charge the Buyer any additional supplier merchant fees other than the card provider’s published merchant fees, nor will it be entitled to charge a mark-up on such costs and/or fees.</w:t>
      </w:r>
    </w:p>
    <w:p w14:paraId="555C6B68"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reserves the right to request proof of the value of any such surcharges associated with payment by a purchasing card.</w:t>
      </w:r>
    </w:p>
    <w:p w14:paraId="555C6B69"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the facility for the Booker to insert the three / four digit CVV security code.</w:t>
      </w:r>
    </w:p>
    <w:p w14:paraId="555C6B6A"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each online and offline booking the Buyer shall require the Booker’s and Traveller’s staff number, service number, where appropriate, and Buyer’s specific, name, Unit Identification Number (Lot 3 only), cost centre, email address and where possible whether it is a taxable journey to be recorded for each online and offline booking and, where requested by the Buyer, the tax classification.</w:t>
      </w:r>
    </w:p>
    <w:p w14:paraId="555C6B6B"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14:paraId="555C6B6C"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determine, prior to Go Live, solutions that have the capability to interface with the Buyer’s e-commerce (Purchase 2 Pay) system.</w:t>
      </w:r>
    </w:p>
    <w:p w14:paraId="555C6B6D"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Buyer does not require a full end-to-end e-commerce (Purchase 2 Pay) system, the Supplier shall provide an alternative solution in accordance with the Buyer’s requirements at no additional cost, charge or expense to the Buyer.</w:t>
      </w:r>
    </w:p>
    <w:p w14:paraId="555C6B6E"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functionality to manage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14:paraId="555C6B6F"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use their own card solution to facilitate all bookings that require prepayment. Paragraph 3.23 above applies no matter whether the card account belongs to the Buyer or Supplier.</w:t>
      </w:r>
    </w:p>
    <w:p w14:paraId="555C6B70"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online and offline bookings for air baggage costs or other ancillary charges are itemised separately on the invoice and are not included in the air fare total amount.</w:t>
      </w:r>
    </w:p>
    <w:p w14:paraId="555C6B71"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14:paraId="555C6B72"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an assurance to the Buyer that the lowest available fare/rate is always offered to Bookers to make a booking in a secure and fully </w:t>
      </w:r>
      <w:r>
        <w:rPr>
          <w:rFonts w:ascii="Arial" w:eastAsia="Arial" w:hAnsi="Arial" w:cs="Arial"/>
        </w:rPr>
        <w:lastRenderedPageBreak/>
        <w:t>bonded environment. If a Booker finds a flight, hotel or rail ticket that is cheaper than that presented by the Supplier, the Supplier shall action a Price Match.</w:t>
      </w:r>
    </w:p>
    <w:p w14:paraId="555C6B73"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within 2 working hours of receiving the Supplier’s quoted fare or rate by email.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w:t>
      </w:r>
    </w:p>
    <w:p w14:paraId="555C6B74"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invoice the Buyer for the Charges in the currency of the country from which the Services are provided unless agreed differently in the Order Form.</w:t>
      </w:r>
    </w:p>
    <w:p w14:paraId="555C6B75" w14:textId="77777777" w:rsidR="00FD43D1" w:rsidRDefault="008B7F26">
      <w:pPr>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Tax</w:t>
      </w:r>
    </w:p>
    <w:p w14:paraId="555C6B76"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Any sum payable under the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venue hire for ‘Management Conferences’ compared to ‘Room Hire and Catering Only’) then the Supplier shall ensure correct account/category codes are built into the invoicing without any additional charge, cost or expense.</w:t>
      </w:r>
    </w:p>
    <w:p w14:paraId="555C6B77"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Except as required by applicable law all payments under the Call-Off Contract will be made free and clear of all deductions and withholdings (whether in respect of tax or otherwise).</w:t>
      </w:r>
    </w:p>
    <w:p w14:paraId="555C6B78"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Management Information and Data Reporting Requirements</w:t>
      </w:r>
    </w:p>
    <w:p w14:paraId="555C6B79"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operate and maintain appropriate systems, processes and records to ensure that it can, at all times, deliver (or otherwise make available) timely and accurate management information from all the countries in the scope of the Call-Off Contract to the Buyer in accordance with the Buyer’s requirements and the provisions of the Call-Off Contract and this Schedule.</w:t>
      </w:r>
    </w:p>
    <w:p w14:paraId="555C6B7A"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either:</w:t>
      </w:r>
    </w:p>
    <w:p w14:paraId="555C6B7B"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a secure, central portal to enable the Buyer to self-access their dashboard, management information (including travel data, booked data </w:t>
      </w:r>
      <w:r>
        <w:rPr>
          <w:rFonts w:ascii="Arial" w:eastAsia="Arial" w:hAnsi="Arial" w:cs="Arial"/>
          <w:color w:val="000000"/>
        </w:rPr>
        <w:lastRenderedPageBreak/>
        <w:t>and invoiced data) and reports. The portal shall offer the capability to customise reports and access raw data; or</w:t>
      </w:r>
    </w:p>
    <w:p w14:paraId="555C6B7C"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such alternative secure communication method in relation to the Buyer’s dashboard, management information (including travel data, booked data and invoiced data) and reports as specified by the Buyer at the Call-Off Start Date.</w:t>
      </w:r>
    </w:p>
    <w:p w14:paraId="555C6B7D"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(where there has been no change to the original booking), the management information provided to the Buyer can be matched to the relevant Supplier invoice.</w:t>
      </w:r>
    </w:p>
    <w:p w14:paraId="555C6B7E"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capture details of the Authorising Officers for each online and offline out of policy booking in accordance with the Buyer’s requirements.</w:t>
      </w:r>
    </w:p>
    <w:p w14:paraId="555C6B7F"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use the management information to engage with the Buyer in such areas as (but not limited to) duty of care, enhanced customer experience and ensure that Travellers are making optimal choices in line with their relevant travel policy.</w:t>
      </w:r>
    </w:p>
    <w:p w14:paraId="555C6B80"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Assurance Management Systems</w:t>
      </w:r>
    </w:p>
    <w:p w14:paraId="555C6B81"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at all times for the duration of the Call-Off Contract, have in place, maintain and comply with quality and assurance management systems and standards for the scope of the Services offered, including but not limited to the following:</w:t>
      </w:r>
    </w:p>
    <w:p w14:paraId="555C6B8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Quality Management System supported by the International Organisation for Standardisation ISO 9001 Quality Management System, or the current European Foundation for Quality Management (EFQM) Excellence Model criteria or equivalent;</w:t>
      </w:r>
    </w:p>
    <w:p w14:paraId="555C6B8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Environmental Management System supported by the International Organisation for Standardisation ISO 14001 Environmental Management System or equivalent; and</w:t>
      </w:r>
    </w:p>
    <w:p w14:paraId="555C6B84"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information security management system as required by the Security Requirements.</w:t>
      </w:r>
    </w:p>
    <w:p w14:paraId="555C6B85"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Feedback Requirements</w:t>
      </w:r>
    </w:p>
    <w:p w14:paraId="555C6B86"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access to an air, rail, venue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14:paraId="555C6B87"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within the Online Booking Solution, a facility for the Buyer to register Complaints.</w:t>
      </w:r>
    </w:p>
    <w:p w14:paraId="555C6B88"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Call-Off Contract Access</w:t>
      </w:r>
    </w:p>
    <w:p w14:paraId="555C6B89"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note that the Services provided under the Call-Off Contract, for business travel booking and management Services are solely for authorised business use. Whilst the Services are predominantly for Buyer’s employees, they may also be utilised for non-employees, for example employee spouses and dependants, members of the public, visiting foreign nationals and others where prior written approval is provided by the Buyer. Under no circumstances shall Traveller(s) of the Buyer or any other nominated individuals authorised by the Buyer, utilise the Services for personal use unless explicitly part of their duty or pursuant to employment terms and conditions. In the event that the Buyer wishes to use the </w:t>
      </w:r>
      <w:r>
        <w:rPr>
          <w:rFonts w:ascii="Arial" w:eastAsia="Arial" w:hAnsi="Arial" w:cs="Arial"/>
        </w:rPr>
        <w:lastRenderedPageBreak/>
        <w:t>Services as a contingency arrangement for individuals who have not booked their travel through the Call-Off Contract (e.g. the repatriation of British Nationals in an emergency or provision for rough sleepers, asylum seekers), the Supplier will work with the Buyer to facilitate access to the booking solutions under the Call-Off Contract.</w:t>
      </w:r>
    </w:p>
    <w:p w14:paraId="555C6B8A"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There shall be no personal gain for Bookers or Travellers and/or delegates through benefits acquired as a consequence of travel undertaken as part of the Call-Off Contract. Therefore, the Supplier shall not facilitate the collection of an individual’s loyalty card points awarded by Third Party Providers. However, the Supplier is required to facilitate corporate schemes and/or charity donation schemes where applicable, if approved by CCS and agreed with the Buyer.</w:t>
      </w:r>
    </w:p>
    <w:p w14:paraId="555C6B8B" w14:textId="77777777" w:rsidR="00FD43D1" w:rsidRDefault="008B7F26">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Technology Requirements</w:t>
      </w:r>
    </w:p>
    <w:p w14:paraId="555C6B8C"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b/>
        </w:rPr>
      </w:pPr>
      <w:r>
        <w:rPr>
          <w:rFonts w:ascii="Arial" w:eastAsia="Arial" w:hAnsi="Arial" w:cs="Arial"/>
          <w:b/>
        </w:rPr>
        <w:t>Provision of the Online Booking System</w:t>
      </w:r>
    </w:p>
    <w:p w14:paraId="555C6B8D"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perform the Services using the Supplier’s Online Booking System, which will (as a minimum) comply with the requirements set out in this Paragraph 3.42 ‎‎and this Schedule and the Buyer’s specification (as set out in Call-Off Schedule 20 (Call-Off Specification)), and, where applicable, the Supplier’s tender for the Services (as set out in Call-Off Schedule 4 (Call-Off Tender)).</w:t>
      </w:r>
    </w:p>
    <w:p w14:paraId="555C6B8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Supplier will ensure that the Online Booking System is suitable for the performance of the Services and that the Services will not be adversely affected or hindered in any way by the use of the Online Booking System. </w:t>
      </w:r>
      <w:r>
        <w:rPr>
          <w:rFonts w:ascii="Arial" w:eastAsia="Arial" w:hAnsi="Arial" w:cs="Arial"/>
          <w:highlight w:val="white"/>
        </w:rPr>
        <w:t>The Supplier’s Online Booking Solution tool must be able to allow for “Single Sign On” capability using OIDC and SAML 2.0 authentication protocols to support future Government digital strategies and where interacting with CCS services must be fully capable of integrating with the dedicated CCS Single Sign On solution as and when required.</w:t>
      </w:r>
    </w:p>
    <w:p w14:paraId="555C6B8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at all times maintain the Online Booking System in such working order as enables it to perform the Services in accordance with the terms of this Contract and to comply with the Service Levels.</w:t>
      </w:r>
    </w:p>
    <w:p w14:paraId="555C6B90" w14:textId="77777777" w:rsidR="00FD43D1" w:rsidRDefault="008B7F26">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Online Booking System Warranties</w:t>
      </w:r>
    </w:p>
    <w:p w14:paraId="555C6B91"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warrants, represents and undertakes to the Buyer that:</w:t>
      </w:r>
    </w:p>
    <w:p w14:paraId="555C6B9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Online Booking System used by the Supplier in connection with this Contract will:</w:t>
      </w:r>
    </w:p>
    <w:p w14:paraId="555C6B93" w14:textId="77777777" w:rsidR="00FD43D1" w:rsidRDefault="008B7F26">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rPr>
      </w:pPr>
      <w:r>
        <w:rPr>
          <w:rFonts w:ascii="Arial" w:eastAsia="Arial" w:hAnsi="Arial" w:cs="Arial"/>
        </w:rPr>
        <w:t>not have its functionality or performance affected, or be made inoperable or be more difficult to use by reason of any date related input or processing in or on any part of such Online Booking System;</w:t>
      </w:r>
    </w:p>
    <w:p w14:paraId="555C6B94" w14:textId="77777777" w:rsidR="00FD43D1" w:rsidRDefault="008B7F26">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14:paraId="555C6B95" w14:textId="77777777" w:rsidR="00FD43D1" w:rsidRDefault="008B7F26">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 xml:space="preserve">any variations, enhancements or actions undertaken by the Supplier in respect of </w:t>
      </w:r>
      <w:r>
        <w:rPr>
          <w:rFonts w:ascii="Arial" w:eastAsia="Arial" w:hAnsi="Arial" w:cs="Arial"/>
        </w:rPr>
        <w:t>the</w:t>
      </w:r>
      <w:r>
        <w:rPr>
          <w:rFonts w:ascii="Arial" w:eastAsia="Arial" w:hAnsi="Arial" w:cs="Arial"/>
          <w:color w:val="000000"/>
        </w:rPr>
        <w:t xml:space="preserve"> Online Booking System will not affect the Supplier’s compliance with this Paragraph 3.43.1 or the performance of the Services;</w:t>
      </w:r>
    </w:p>
    <w:p w14:paraId="555C6B96"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 </w:t>
      </w:r>
    </w:p>
    <w:p w14:paraId="555C6B97"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it will perform or procure the performance of end user tests to ensure that corrections and system restoration activities have been implemented successfully pursuant to Paragraph 3.42 and that reports will be prepared detailing the success or failure of such end user tests for provision to the Buyer.</w:t>
      </w:r>
    </w:p>
    <w:p w14:paraId="555C6B98" w14:textId="77777777" w:rsidR="00FD43D1" w:rsidRDefault="008B7F26">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Performance of the Online Booking System</w:t>
      </w:r>
    </w:p>
    <w:p w14:paraId="555C6B99"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14:paraId="555C6B9A"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ensure that any updates, modifications and/or maintenance to the Online Booking System will only be carried out with the prior consent of the Buyer and, in any event, will not be carried out on a Working Day.</w:t>
      </w:r>
    </w:p>
    <w:p w14:paraId="555C6B9B"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event that a Virus is found, the Supplier will use, at its own expense,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14:paraId="555C6B9C"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the purpose of Paragraph 3.46 a ‘Virus’ means any software virus, computer worm, malware, spyware, ransomware, disabling script, back-door, Trojan horse, rootkit, key-logger, software bomb or similar damaging or malicious code.</w:t>
      </w:r>
    </w:p>
    <w:p w14:paraId="555C6B9D" w14:textId="77777777" w:rsidR="00FD43D1" w:rsidRDefault="008B7F26">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Access to the Online Booking System</w:t>
      </w:r>
    </w:p>
    <w:p w14:paraId="555C6B9E"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w:t>
      </w:r>
    </w:p>
    <w:p w14:paraId="555C6B9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provide unrestricted access to the Online Booking System to the Buyer and its nominated representatives throughout the Call-Off Contract Period;</w:t>
      </w:r>
    </w:p>
    <w:p w14:paraId="555C6BA0"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14:paraId="555C6BA1"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all necessary passwords and log-in details to enable the Buyer and its personnel to access the Online Booking System in accordance with the Call-Off Contract;</w:t>
      </w:r>
    </w:p>
    <w:p w14:paraId="555C6BA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set up and maintain a communications link via which the Buyer can access the Online Booking System and the Supplier will be responsible for the integrity of such link, its connections and for all data passing over such link; and</w:t>
      </w:r>
    </w:p>
    <w:p w14:paraId="555C6BA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take all necessary steps to rectify any errors, failures or malfunctions of the Online Booking System so as to restore the Buyer’s access as soon as possible and to minimise disruption to the Buyer.</w:t>
      </w:r>
    </w:p>
    <w:p w14:paraId="555C6BA4"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w:t>
      </w:r>
    </w:p>
    <w:p w14:paraId="555C6BA5" w14:textId="77777777" w:rsidR="00FD43D1" w:rsidRDefault="008B7F26">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Protection of the Online Booking System</w:t>
      </w:r>
    </w:p>
    <w:p w14:paraId="555C6BA6"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operate a back-up process for the Online Booking System insofar as it relates to the Services in accordance </w:t>
      </w:r>
      <w:r>
        <w:rPr>
          <w:rFonts w:ascii="Arial" w:eastAsia="Arial" w:hAnsi="Arial" w:cs="Arial"/>
          <w:highlight w:val="white"/>
        </w:rPr>
        <w:t>with the buyer's agreed Security</w:t>
      </w:r>
      <w:r>
        <w:rPr>
          <w:rFonts w:ascii="Arial" w:eastAsia="Arial" w:hAnsi="Arial" w:cs="Arial"/>
        </w:rPr>
        <w:t xml:space="preserve">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14:paraId="555C6BA7"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14:paraId="555C6BA8"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Paragraph 3.52. The Supplier will provide such reports to the Buyer within ten (10) Working Days of the completion of such tests.</w:t>
      </w:r>
    </w:p>
    <w:p w14:paraId="555C6BA9" w14:textId="77777777" w:rsidR="00FD43D1" w:rsidRDefault="008B7F26">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Call-Off Contract.</w:t>
      </w:r>
    </w:p>
    <w:p w14:paraId="555C6DBB" w14:textId="77777777" w:rsidR="00FD43D1" w:rsidRDefault="008B7F26">
      <w:pPr>
        <w:pStyle w:val="Heading2"/>
        <w:numPr>
          <w:ilvl w:val="0"/>
          <w:numId w:val="5"/>
        </w:numPr>
        <w:spacing w:before="480"/>
        <w:ind w:left="851" w:hanging="789"/>
        <w:rPr>
          <w:sz w:val="22"/>
          <w:szCs w:val="22"/>
        </w:rPr>
      </w:pPr>
      <w:bookmarkStart w:id="5" w:name="_heading=h.26in1rg" w:colFirst="0" w:colLast="0"/>
      <w:bookmarkStart w:id="6" w:name="_heading=h.44sinio" w:colFirst="0" w:colLast="0"/>
      <w:bookmarkStart w:id="7" w:name="_GoBack"/>
      <w:bookmarkEnd w:id="5"/>
      <w:bookmarkEnd w:id="6"/>
      <w:bookmarkEnd w:id="7"/>
      <w:r>
        <w:rPr>
          <w:b/>
          <w:sz w:val="22"/>
          <w:szCs w:val="22"/>
        </w:rPr>
        <w:t>LOT 4: BOOKING SOLUTIONS VENUES &amp; EVENTS</w:t>
      </w:r>
    </w:p>
    <w:p w14:paraId="555C6DBC" w14:textId="77777777" w:rsidR="00FD43D1" w:rsidRDefault="008B7F26">
      <w:pPr>
        <w:keepNext/>
        <w:tabs>
          <w:tab w:val="left" w:pos="851"/>
        </w:tabs>
        <w:spacing w:before="120" w:after="0" w:line="240" w:lineRule="auto"/>
        <w:ind w:left="851"/>
        <w:jc w:val="both"/>
        <w:rPr>
          <w:rFonts w:ascii="Arial" w:eastAsia="Arial" w:hAnsi="Arial" w:cs="Arial"/>
          <w:b/>
        </w:rPr>
      </w:pPr>
      <w:r>
        <w:rPr>
          <w:rFonts w:ascii="Arial" w:eastAsia="Arial" w:hAnsi="Arial" w:cs="Arial"/>
          <w:b/>
        </w:rPr>
        <w:t>Accommodation and Venue Find</w:t>
      </w:r>
    </w:p>
    <w:p w14:paraId="555C6DBD"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Buyer with a facility to tailor search options in the Online Booking Solution including, but not limited to, price, distance from specified location or office / train station / airport, postcode, radius, or specific accommodation name and or hotel group, to provide the most efficient search results using a quick list, or equivalent.</w:t>
      </w:r>
    </w:p>
    <w:p w14:paraId="555C6DBE"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Buyer with an Online Booking System for venue find where venues make Inventory available online (including providing a mechanism for the Buyer to make amendments to and or cancel a booking).</w:t>
      </w:r>
    </w:p>
    <w:p w14:paraId="555C6DBF"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an Online Booking Solution with sufficient functionality to display all rates whether Commissionable or Non-Commissionable, in accordance with the accommodation providers’ default position on Commissions, and also including but not limited to, last minute offers and advance booking promotions, </w:t>
      </w:r>
      <w:r>
        <w:rPr>
          <w:rFonts w:ascii="Arial" w:eastAsia="Arial" w:hAnsi="Arial" w:cs="Arial"/>
        </w:rPr>
        <w:lastRenderedPageBreak/>
        <w:t>Supplier owned rates, HM Government, CCS Public Sector Negotiated Programme rates without exception or limitations.</w:t>
      </w:r>
    </w:p>
    <w:p w14:paraId="555C6DC0"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results of the search shall provide maps and display the distance from the point of search selected by the Booker. The Supplier shall ensure the provision of services relating to assurance over aspects of organisational, operational and programme performance, benefitting from objective examination and assessment.</w:t>
      </w:r>
    </w:p>
    <w:p w14:paraId="555C6DC1"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bookmarkStart w:id="8" w:name="_heading=h.2jxsxqh" w:colFirst="0" w:colLast="0"/>
      <w:bookmarkEnd w:id="8"/>
      <w:r>
        <w:rPr>
          <w:rFonts w:ascii="Arial" w:eastAsia="Arial" w:hAnsi="Arial" w:cs="Arial"/>
        </w:rPr>
        <w:t>The Supplier shall provide the Buyer (where it requests) access to all accommodation sites and venues throughout the life of the Framework Contract, including but not limited to whole hotels/venues for exclusive use and regardless of whether commissionable or not. No Hotel/Venue is to be excluded unless written approval from Crown Commercial Service. Supporting ancillary services such as transport, PPE, test kits and food and beverages shall also be provided (where a Buyer requests it), particularly in response to a crisis i.e. Covid-19. This will also be applicable to individuals who have not booked their travel through the relevant Call-Off Contract but are requiring support from a Government Department for example British Nationals, Approved Foreign Nationals, rough sleepers, asylum seekers, unaccompanied minors, displaced residents etc.</w:t>
      </w:r>
    </w:p>
    <w:p w14:paraId="555C6DC2"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Online Booking Solutions do not exist then the Supplier shall ensure that a robust Offline Booking Solution is provided e.g web booking request forms, dedicated email addresses and dedicated phone numbers.</w:t>
      </w:r>
    </w:p>
    <w:p w14:paraId="555C6DC3" w14:textId="77777777" w:rsidR="00FD43D1" w:rsidRDefault="008B7F26">
      <w:pPr>
        <w:tabs>
          <w:tab w:val="left" w:pos="851"/>
        </w:tabs>
        <w:spacing w:before="120" w:after="0" w:line="240" w:lineRule="auto"/>
        <w:ind w:left="851"/>
        <w:jc w:val="both"/>
        <w:rPr>
          <w:rFonts w:ascii="Arial" w:eastAsia="Arial" w:hAnsi="Arial" w:cs="Arial"/>
          <w:b/>
        </w:rPr>
      </w:pPr>
      <w:r>
        <w:rPr>
          <w:rFonts w:ascii="Arial" w:eastAsia="Arial" w:hAnsi="Arial" w:cs="Arial"/>
          <w:b/>
        </w:rPr>
        <w:t>Venue Find – Including Virtual/Digital &amp; Hybrid Meetings</w:t>
      </w:r>
    </w:p>
    <w:p w14:paraId="555C6DC4"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comprehensive and cost effective service to provide full facilities for meetings, conferences, interviews and training courses on a residential and non-residential basis throughout the United Kingdom and overseas to the Buyer and other nominated individuals. This includes the booking of venues for exclusive use and group accommodation.</w:t>
      </w:r>
    </w:p>
    <w:p w14:paraId="555C6DC5"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deliver the venue find services using the following three tier approach:</w:t>
      </w:r>
    </w:p>
    <w:p w14:paraId="555C6DC6"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b/>
          <w:color w:val="000000"/>
        </w:rPr>
        <w:t>Tier 1:</w:t>
      </w:r>
      <w:r>
        <w:rPr>
          <w:rFonts w:ascii="Arial" w:eastAsia="Arial" w:hAnsi="Arial" w:cs="Arial"/>
          <w:color w:val="000000"/>
        </w:rPr>
        <w:t xml:space="preserve"> The </w:t>
      </w:r>
      <w:r>
        <w:rPr>
          <w:rFonts w:ascii="Arial" w:eastAsia="Arial" w:hAnsi="Arial" w:cs="Arial"/>
        </w:rPr>
        <w:t>Shared</w:t>
      </w:r>
      <w:r>
        <w:rPr>
          <w:rFonts w:ascii="Arial" w:eastAsia="Arial" w:hAnsi="Arial" w:cs="Arial"/>
          <w:color w:val="000000"/>
        </w:rPr>
        <w:t xml:space="preserve"> Facilities Register, which shall be provided to the Supplier, shall always be the first consideration for fulfilling all venue finding requirements from the Buyer. If a suitable venue is identified, either by the Supplier or the Buyer directly, then the Supplier shall seek confirmation of suitability before booking the venue and sending a confirmation to the Booker via email. The Government Property Unit (GPU) shall provide the successful Supplier with a list of venues which are registered on the Shared Facilities Register, and provide details of any changes to this list to the Supplier on a regular basis. The Supplier shall ensure that their list of venues is available to Bookers and delegates to provide the best free of charge opportunities to the Buyer. The Shared Facilities Register is not a </w:t>
      </w:r>
      <w:r>
        <w:rPr>
          <w:rFonts w:ascii="Arial" w:eastAsia="Arial" w:hAnsi="Arial" w:cs="Arial"/>
        </w:rPr>
        <w:t>comprehensive</w:t>
      </w:r>
      <w:r>
        <w:rPr>
          <w:rFonts w:ascii="Arial" w:eastAsia="Arial" w:hAnsi="Arial" w:cs="Arial"/>
          <w:color w:val="000000"/>
        </w:rPr>
        <w:t xml:space="preserve"> list of all meeting space available and the successful Supplier shall liaise with the GPU to identify opportunities where free Government Estate can be added to the Shared Facilities Register. </w:t>
      </w:r>
      <w:r>
        <w:rPr>
          <w:rFonts w:ascii="Arial" w:eastAsia="Arial" w:hAnsi="Arial" w:cs="Arial"/>
        </w:rPr>
        <w:t>Booking and usage of government space is at the discretion of the government entity that is responsible for that space and, unless indicated otherwise, it shall not be assumed that non-government bodies would be accommodated in these facilities.</w:t>
      </w:r>
    </w:p>
    <w:p w14:paraId="555C6DC7"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Tier 2:</w:t>
      </w:r>
      <w:r>
        <w:rPr>
          <w:rFonts w:ascii="Arial" w:eastAsia="Arial" w:hAnsi="Arial" w:cs="Arial"/>
          <w:color w:val="000000"/>
        </w:rPr>
        <w:t xml:space="preserve"> In the event that the Buyer’s requirement cannot be fulfilled from Tier 1 and </w:t>
      </w:r>
      <w:r>
        <w:rPr>
          <w:rFonts w:ascii="Arial" w:eastAsia="Arial" w:hAnsi="Arial" w:cs="Arial"/>
        </w:rPr>
        <w:t>there</w:t>
      </w:r>
      <w:r>
        <w:rPr>
          <w:rFonts w:ascii="Arial" w:eastAsia="Arial" w:hAnsi="Arial" w:cs="Arial"/>
          <w:color w:val="000000"/>
        </w:rPr>
        <w:t xml:space="preserve"> is an audit trail to confirm this, then the Supplier’s second </w:t>
      </w:r>
      <w:r>
        <w:rPr>
          <w:rFonts w:ascii="Arial" w:eastAsia="Arial" w:hAnsi="Arial" w:cs="Arial"/>
        </w:rPr>
        <w:t>consideration</w:t>
      </w:r>
      <w:r>
        <w:rPr>
          <w:rFonts w:ascii="Arial" w:eastAsia="Arial" w:hAnsi="Arial" w:cs="Arial"/>
          <w:color w:val="000000"/>
        </w:rPr>
        <w:t xml:space="preserve"> shall be the paid government estate and the voluntary and community sector, for example, but not limited to:</w:t>
      </w:r>
    </w:p>
    <w:p w14:paraId="555C6DC8"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Queen Elizabeth II Conference Centre;</w:t>
      </w:r>
    </w:p>
    <w:p w14:paraId="555C6DC9"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lastRenderedPageBreak/>
        <w:t>No 1 Victoria Street;</w:t>
      </w:r>
    </w:p>
    <w:p w14:paraId="555C6DCA"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Government departmental training centres;</w:t>
      </w:r>
    </w:p>
    <w:p w14:paraId="555C6DCB"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University post graduate centres;</w:t>
      </w:r>
    </w:p>
    <w:p w14:paraId="555C6DCC"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Local Government town halls, community centres, etc.; or</w:t>
      </w:r>
    </w:p>
    <w:p w14:paraId="555C6DCD"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Voluntary and community sector providers of meeting space</w:t>
      </w:r>
    </w:p>
    <w:p w14:paraId="555C6DC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Tier 3:</w:t>
      </w:r>
      <w:r>
        <w:rPr>
          <w:rFonts w:ascii="Arial" w:eastAsia="Arial" w:hAnsi="Arial" w:cs="Arial"/>
          <w:color w:val="000000"/>
        </w:rPr>
        <w:t xml:space="preserve"> In the event that the Buyer’s requirement cannot be fulfilled from Tier 1 or 2, </w:t>
      </w:r>
      <w:r>
        <w:rPr>
          <w:rFonts w:ascii="Arial" w:eastAsia="Arial" w:hAnsi="Arial" w:cs="Arial"/>
        </w:rPr>
        <w:t>then</w:t>
      </w:r>
      <w:r>
        <w:rPr>
          <w:rFonts w:ascii="Arial" w:eastAsia="Arial" w:hAnsi="Arial" w:cs="Arial"/>
          <w:color w:val="000000"/>
        </w:rPr>
        <w:t xml:space="preserve"> the third consideration shall be the paid commercial providers, for example, but not limited to:</w:t>
      </w:r>
    </w:p>
    <w:p w14:paraId="555C6DCF"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Meeting venues;</w:t>
      </w:r>
    </w:p>
    <w:p w14:paraId="555C6DD0"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Hotels; or</w:t>
      </w:r>
    </w:p>
    <w:p w14:paraId="555C6DD1" w14:textId="77777777" w:rsidR="00FD43D1" w:rsidRDefault="008B7F26">
      <w:pPr>
        <w:numPr>
          <w:ilvl w:val="0"/>
          <w:numId w:val="6"/>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Conference and Meeting Centres.</w:t>
      </w:r>
    </w:p>
    <w:p w14:paraId="555C6DD2"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Volume data is included in the Data Set. The Data Set outlines a historical split of bookings of which the higher proportion is currently serviced by Tier 3 venues.</w:t>
      </w:r>
    </w:p>
    <w:p w14:paraId="555C6DD3"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present the HM Government/CCS Preferred Venue Terms and Conditions to the venues with every enquiry, and encourage compliance. Where the venue will not comply, the Supplier shall advise the Booker and provide a copy of the venue’s terms and conditions prior to the booking being confirmed in writing.</w:t>
      </w:r>
    </w:p>
    <w:p w14:paraId="555C6DD4"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work with the venue to manage all requirements including but not limited to food and beverage, audio-visual, internet, room set-up, timings, liaison with venue staff.</w:t>
      </w:r>
    </w:p>
    <w:p w14:paraId="555C6DD5"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highlight to the Buyer the most cost-effective choices when presenting available venue options. The Supplier shall provide the facility for the Buyer to select a ‘Reason’ (from a predetermined and pre-populated standard list of reason codes approved by the Buyer) where the most cost-effective option is not booked.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w:t>
      </w:r>
    </w:p>
    <w:p w14:paraId="555C6DD6"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facility to record pre-confirmation approval information (at a minimum, a field that captures a typed response by the Booker to indicate approval has been given) e.g. the name of the approver and date, in accordance with the Buyer’s requirements.</w:t>
      </w:r>
    </w:p>
    <w:p w14:paraId="555C6DD7"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Booker(s) with a minimum of three venue options and provide a quotation (that meets the stated Booker’s requirements) detailing the following:</w:t>
      </w:r>
    </w:p>
    <w:p w14:paraId="555C6DD8"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name and location of the venue, with directions;</w:t>
      </w:r>
    </w:p>
    <w:p w14:paraId="555C6DD9"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24-hour meeting rate and / or day delegate meeting rate</w:t>
      </w:r>
    </w:p>
    <w:p w14:paraId="555C6DDA"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room hire rate with refreshments comparison, if applicable;</w:t>
      </w:r>
    </w:p>
    <w:p w14:paraId="555C6DDB"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best value for money / most cost-effective option;</w:t>
      </w:r>
    </w:p>
    <w:p w14:paraId="555C6DDC"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syndicate rooms requested and any additional cost;</w:t>
      </w:r>
    </w:p>
    <w:p w14:paraId="555C6DDD"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additional equipment requested and any additional cost and</w:t>
      </w:r>
    </w:p>
    <w:p w14:paraId="555C6DD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cancellation policy (particularly cut off dates for no charge cancellation); and</w:t>
      </w:r>
    </w:p>
    <w:p w14:paraId="555C6DD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detailed specification relevant to the Booker’s requirement e.g. menus, room layout, additional equipment, dietary requirements, meeting </w:t>
      </w:r>
      <w:r>
        <w:rPr>
          <w:rFonts w:ascii="Arial" w:eastAsia="Arial" w:hAnsi="Arial" w:cs="Arial"/>
        </w:rPr>
        <w:lastRenderedPageBreak/>
        <w:t>arrangements to the venue e.g. car parking, locality to public transport etc.</w:t>
      </w:r>
    </w:p>
    <w:p w14:paraId="555C6DE0"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seek to achieve best value for money and present the same to the Buyer by considering day delegate meeting rate(s) against room hire and refreshments individual pricing.</w:t>
      </w:r>
    </w:p>
    <w:p w14:paraId="555C6DE1"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catering is booked it must be in compliance with the Government Buying Standard for Food and Catering or equivalent. The Government Buying Standard for Food and Catering may be accessed here: https://www.gov.uk/government/publications/sustainable-procurement-the-gbs-for-food-and-catering-services. The Supplier shall communicate this requirement to the venue where catering is requested, and obtain and collate any verification evidence and pass the same to the Buyer on request.</w:t>
      </w:r>
    </w:p>
    <w:p w14:paraId="555C6DE2"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and allowed by the venue, the Supplier shall arrange refreshments/catering through a Third Party Provider on a standalone basis. The Supplier shall ensure that these refreshments/catering services are purchased in the most cost effective way.</w:t>
      </w:r>
    </w:p>
    <w:p w14:paraId="555C6DE3"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the Buyer can clearly notify the Supplier at the time of booking whether the attendee(s) are lone and/or vulnerable attendee(s) and/or have any special requirements, either by phone, email, enquiry form or the booking system.</w:t>
      </w:r>
    </w:p>
    <w:p w14:paraId="555C6DE4"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be able to exclude specific venues, as defined by the Buyer, to ensure they are not made available to book, either by phone, email, enquiry form or the booking system (when this becomes available).</w:t>
      </w:r>
    </w:p>
    <w:p w14:paraId="555C6DE5"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Buyer will require pricing (if not cost effective to package as a 24-hour rate) for single rooms, in accordance with the Buyer’s Travel/Expenses/Meeting Policy. The Supplier shall also make available all other Inventory, for example double rooms for sole occupancy, that accommodation venues may have available at the time of booking the meeting.</w:t>
      </w:r>
    </w:p>
    <w:p w14:paraId="555C6DE6"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be able to deal with complex requirements including, but not limited to, requirements of delegates with Protected Characteristics, secure parking, specific room requirements.</w:t>
      </w:r>
    </w:p>
    <w:p w14:paraId="555C6DE7"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the Supplier shall provide the Buyer with a liaison service with the venue and or any other necessary third parties to ensure that the venue layout and correct audio and or visual and or presentation aids are provided, prior to the start of the meeting. The Supplier shall also ensure that any refreshments booked are available at the times requested, to ensure that meetings or conferences run promptly to time.</w:t>
      </w:r>
    </w:p>
    <w:p w14:paraId="555C6DE8"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Supplier may need to subcontract certain elements of the meeting where additional expertise may be needed. If this is the case, the Buyer will have final approval on the sub-contractor’s proposed costs.</w:t>
      </w:r>
    </w:p>
    <w:p w14:paraId="555C6DE9"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an onsite single point of contact to the Buyer for venue liaison purposes.</w:t>
      </w:r>
    </w:p>
    <w:p w14:paraId="555C6DEA"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Supplier shall arrange for transportation from a Third Party Provider to and from the venue, display stands, equipment and or other materials for the meeting.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14:paraId="555C6DEB"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If required by the Buyer, the Supplier shall provide delegate management service(s) incorporating registration, provision of information, reception and management e.g. facilitating delegates around the meeting / event during the meeting. The specific needs of delegates with Protected Characteristics shall be addressed within this provision in terms of access to the registration service and recording of any special requirements, including, but not limited to, access and dietary requirements.</w:t>
      </w:r>
    </w:p>
    <w:p w14:paraId="555C6DEC"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the Buyer with a delegate registration service. The delegate registration service includes but is not limited to pre-registration of delegates, onsite registration and administration support, provision of name badges and provision of approved delegate packs.</w:t>
      </w:r>
    </w:p>
    <w:p w14:paraId="555C6DED"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the Buyer with secure access to the full list of all registered delegates attending the event at least 24 hours prior to the start of the event.</w:t>
      </w:r>
    </w:p>
    <w:p w14:paraId="555C6DEE"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coordinate the pack. The delegate pack must be approved by the Buyer’s meeting organiser before being issued to delegates.</w:t>
      </w:r>
    </w:p>
    <w:p w14:paraId="555C6DEF"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14:paraId="555C6DF0"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Bookers receive a confirmation(s) by email or fax once a booking has been confirmed to include, but not be limited to:</w:t>
      </w:r>
    </w:p>
    <w:p w14:paraId="555C6DF1"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unique meeting ID number;</w:t>
      </w:r>
    </w:p>
    <w:p w14:paraId="555C6DF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confirmation number and or reference number;</w:t>
      </w:r>
    </w:p>
    <w:p w14:paraId="555C6DF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Booker email address;</w:t>
      </w:r>
    </w:p>
    <w:p w14:paraId="555C6DF4"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Booker and or organiser name;</w:t>
      </w:r>
    </w:p>
    <w:p w14:paraId="555C6DF5"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name;</w:t>
      </w:r>
    </w:p>
    <w:p w14:paraId="555C6DF6"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address including postcode and map view;</w:t>
      </w:r>
    </w:p>
    <w:p w14:paraId="555C6DF7"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contact details for the venue and a named contact at the venue;</w:t>
      </w:r>
    </w:p>
    <w:p w14:paraId="555C6DF8"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meeting and timings;</w:t>
      </w:r>
    </w:p>
    <w:p w14:paraId="555C6DF9"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itemised pricing for example: room hire, day delegate rate, 24-hour delegate rate, food and beverages, AV equipment, local taxes, room rate. If any items are bundled into a packaged rate, the email or fax must state what is included within the packaged rate;</w:t>
      </w:r>
    </w:p>
    <w:p w14:paraId="555C6DFA"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payment method, for example payment on departure, bill back and or payment card;</w:t>
      </w:r>
    </w:p>
    <w:p w14:paraId="555C6DFB"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cancellation and amendments terms and conditions in accordance with the HM Government/ CCS Preferred Venue Terms and Conditions or the venue providers’ own conditions including, but not limited to, the latest cancellation date and time to avoid all charges;</w:t>
      </w:r>
    </w:p>
    <w:p w14:paraId="555C6DFC"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clear information on how to make cancellations and amendments;</w:t>
      </w:r>
    </w:p>
    <w:p w14:paraId="555C6DFD"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Supplier’s out of hour’s emergency telephone number;</w:t>
      </w:r>
    </w:p>
    <w:p w14:paraId="555C6DF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lastRenderedPageBreak/>
        <w:t>staff number and or cost centre;</w:t>
      </w:r>
    </w:p>
    <w:p w14:paraId="555C6DF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notification of whether any additional documentation i.e. tickets needed prior to the date of the meeting;</w:t>
      </w:r>
    </w:p>
    <w:p w14:paraId="555C6E00"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 room descriptions / specifications / amenities (e.g. safe, hairdryer, bath, shower);</w:t>
      </w:r>
    </w:p>
    <w:p w14:paraId="555C6E01"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rate inclusions / exclusions (e.g. breakfast, evening meal, local tax, Wi-Fi);</w:t>
      </w:r>
    </w:p>
    <w:p w14:paraId="555C6E0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 facilities (e.g. gym, parking, restaurant);</w:t>
      </w:r>
    </w:p>
    <w:p w14:paraId="555C6E0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 location (e.g. distance from local transport / nearest station);</w:t>
      </w:r>
    </w:p>
    <w:p w14:paraId="555C6E04"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disability access and any access restrictions;</w:t>
      </w:r>
    </w:p>
    <w:p w14:paraId="555C6E05"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venue’s green credentials and/or sustainability credentials; and</w:t>
      </w:r>
    </w:p>
    <w:p w14:paraId="555C6E06"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planned venue renovations coinciding with the date of the meeting/event.</w:t>
      </w:r>
    </w:p>
    <w:p w14:paraId="555C6E07"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all invoices shall contain the following information (the minimum standard is Level 3 Data), together with any other information required by the Buyer:</w:t>
      </w:r>
    </w:p>
    <w:p w14:paraId="555C6E08"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purchase Order number;</w:t>
      </w:r>
    </w:p>
    <w:p w14:paraId="555C6E09"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invoice number;</w:t>
      </w:r>
    </w:p>
    <w:p w14:paraId="555C6E0A"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name;</w:t>
      </w:r>
    </w:p>
    <w:p w14:paraId="555C6E0B"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Booker and/or organisation’s name;</w:t>
      </w:r>
    </w:p>
    <w:p w14:paraId="555C6E0C"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title of meeting;</w:t>
      </w:r>
    </w:p>
    <w:p w14:paraId="555C6E0D"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meeting and duration;</w:t>
      </w:r>
    </w:p>
    <w:p w14:paraId="555C6E0E"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booking;</w:t>
      </w:r>
    </w:p>
    <w:p w14:paraId="555C6E0F"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location of meeting and or venue;</w:t>
      </w:r>
    </w:p>
    <w:p w14:paraId="555C6E10"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number of attendees;</w:t>
      </w:r>
    </w:p>
    <w:p w14:paraId="555C6E11"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whether free or paid government estate, voluntary and community sector, or commercial venue;</w:t>
      </w:r>
    </w:p>
    <w:p w14:paraId="555C6E12"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total cost (inclusive and exclusive of local taxes);</w:t>
      </w:r>
    </w:p>
    <w:p w14:paraId="555C6E13"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cost breakdown by element (for more complex bookings outside the free government estate), (for example venue, catering, audio and or audio visual, delegate management);</w:t>
      </w:r>
    </w:p>
    <w:p w14:paraId="555C6E14"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organiser cost centre code;</w:t>
      </w:r>
    </w:p>
    <w:p w14:paraId="555C6E15"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unique meeting ID number (to remain the same throughout the life of the booking); and</w:t>
      </w:r>
    </w:p>
    <w:p w14:paraId="555C6E16"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invoice date.</w:t>
      </w:r>
    </w:p>
    <w:p w14:paraId="555C6E17"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cross check invoicing from each venue against each element of the original booking to ensure no overcharging has taken place by the venue, prior to submitting to the Buyer for payment. Prior to invoice payment the Supplier shall investigate any discrepancies with the Buyer and either:</w:t>
      </w:r>
    </w:p>
    <w:p w14:paraId="555C6E18"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t>obtain any relevant authorisation from the Buyer for approval of additional charges; or</w:t>
      </w:r>
    </w:p>
    <w:p w14:paraId="555C6E19" w14:textId="77777777" w:rsidR="00FD43D1" w:rsidRDefault="008B7F26">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rPr>
        <w:lastRenderedPageBreak/>
        <w:t>challenge any unauthorised additional charges with the venue and, where possible, ensure these are removed from the invoice.</w:t>
      </w:r>
    </w:p>
    <w:p w14:paraId="555C6E1A"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Booker’s staff number, service number, name, (UIN) and or email address shall be recorded for each booking and will be agreed with the Buyer during implementation.</w:t>
      </w:r>
    </w:p>
    <w:p w14:paraId="555C6E1B" w14:textId="77777777" w:rsidR="00FD43D1" w:rsidRDefault="008B7F26">
      <w:pPr>
        <w:numPr>
          <w:ilvl w:val="1"/>
          <w:numId w:val="5"/>
        </w:numPr>
        <w:tabs>
          <w:tab w:val="left" w:pos="851"/>
        </w:tabs>
        <w:spacing w:before="120" w:after="0" w:line="240" w:lineRule="auto"/>
        <w:ind w:left="851" w:hanging="851"/>
        <w:jc w:val="both"/>
        <w:rPr>
          <w:rFonts w:ascii="Arial" w:eastAsia="Arial" w:hAnsi="Arial" w:cs="Arial"/>
        </w:rPr>
        <w:sectPr w:rsidR="00FD43D1">
          <w:headerReference w:type="default" r:id="rId8"/>
          <w:footerReference w:type="default" r:id="rId9"/>
          <w:headerReference w:type="first" r:id="rId10"/>
          <w:pgSz w:w="11906" w:h="16838"/>
          <w:pgMar w:top="1440" w:right="1440" w:bottom="1440" w:left="1560" w:header="720" w:footer="720" w:gutter="0"/>
          <w:pgNumType w:start="1"/>
          <w:cols w:space="720"/>
        </w:sectPr>
      </w:pPr>
      <w:r>
        <w:rPr>
          <w:rFonts w:ascii="Arial" w:eastAsia="Arial" w:hAnsi="Arial" w:cs="Arial"/>
        </w:rPr>
        <w:t>The Supplier shall provide a comprehensive and cost effective booking service to provide for meetings, conferences, interviews and training courses that are required to be delivered virtually or digitally. The Supplier shall ensure digital meeting/event platforms are compliant with the Buyer’s security, accessibility, digital requirements as detailed in Call-Off Schedule 9A (Security).</w:t>
      </w:r>
    </w:p>
    <w:p w14:paraId="555C6E1C" w14:textId="77777777" w:rsidR="00FD43D1" w:rsidRDefault="008B7F26">
      <w:pPr>
        <w:spacing w:before="120" w:after="360" w:line="240" w:lineRule="auto"/>
        <w:jc w:val="center"/>
        <w:rPr>
          <w:rFonts w:ascii="Arial" w:eastAsia="Arial" w:hAnsi="Arial" w:cs="Arial"/>
          <w:b/>
        </w:rPr>
      </w:pPr>
      <w:r>
        <w:rPr>
          <w:rFonts w:ascii="Arial" w:eastAsia="Arial" w:hAnsi="Arial" w:cs="Arial"/>
          <w:b/>
        </w:rPr>
        <w:lastRenderedPageBreak/>
        <w:t>Annex 1: Supplementary definitions</w:t>
      </w:r>
    </w:p>
    <w:tbl>
      <w:tblPr>
        <w:tblStyle w:val="a"/>
        <w:tblW w:w="90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6347"/>
      </w:tblGrid>
      <w:tr w:rsidR="00FD43D1" w14:paraId="555C6E1F" w14:textId="77777777">
        <w:tc>
          <w:tcPr>
            <w:tcW w:w="2694" w:type="dxa"/>
            <w:shd w:val="clear" w:color="auto" w:fill="auto"/>
          </w:tcPr>
          <w:p w14:paraId="555C6E1D"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“Application Programming Interface (API)”</w:t>
            </w:r>
          </w:p>
        </w:tc>
        <w:tc>
          <w:tcPr>
            <w:tcW w:w="6347" w:type="dxa"/>
            <w:shd w:val="clear" w:color="auto" w:fill="auto"/>
          </w:tcPr>
          <w:p w14:paraId="555C6E1E"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prewritten packages, classes, and interfaces with their respective methods, fields and constructors;</w:t>
            </w:r>
          </w:p>
        </w:tc>
      </w:tr>
      <w:tr w:rsidR="00FD43D1" w14:paraId="555C6E22" w14:textId="77777777">
        <w:tc>
          <w:tcPr>
            <w:tcW w:w="2694" w:type="dxa"/>
            <w:shd w:val="clear" w:color="auto" w:fill="auto"/>
          </w:tcPr>
          <w:p w14:paraId="555C6E20"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“Authorising Officers”</w:t>
            </w:r>
          </w:p>
        </w:tc>
        <w:tc>
          <w:tcPr>
            <w:tcW w:w="6347" w:type="dxa"/>
            <w:shd w:val="clear" w:color="auto" w:fill="auto"/>
          </w:tcPr>
          <w:p w14:paraId="555C6E21"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authorised representatives who are permitted to approve out of policy bookings, as confirmed by the Buyer to the Supplier in writing from time to time;</w:t>
            </w:r>
          </w:p>
        </w:tc>
      </w:tr>
      <w:tr w:rsidR="00FD43D1" w14:paraId="555C6E25" w14:textId="77777777">
        <w:tc>
          <w:tcPr>
            <w:tcW w:w="2694" w:type="dxa"/>
            <w:shd w:val="clear" w:color="auto" w:fill="auto"/>
          </w:tcPr>
          <w:p w14:paraId="555C6E23"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“Booker”</w:t>
            </w:r>
          </w:p>
        </w:tc>
        <w:tc>
          <w:tcPr>
            <w:tcW w:w="6347" w:type="dxa"/>
            <w:shd w:val="clear" w:color="auto" w:fill="auto"/>
          </w:tcPr>
          <w:p w14:paraId="555C6E24"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FD43D1" w14:paraId="555C6E28" w14:textId="77777777">
        <w:tc>
          <w:tcPr>
            <w:tcW w:w="2694" w:type="dxa"/>
            <w:shd w:val="clear" w:color="auto" w:fill="auto"/>
          </w:tcPr>
          <w:p w14:paraId="555C6E26"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Preferred Venue Terms and Conditions”</w:t>
            </w:r>
          </w:p>
        </w:tc>
        <w:tc>
          <w:tcPr>
            <w:tcW w:w="6347" w:type="dxa"/>
            <w:shd w:val="clear" w:color="auto" w:fill="auto"/>
          </w:tcPr>
          <w:p w14:paraId="555C6E27"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document detailing the preferred terms and conditions of CCS for when booking a meeting venue. It contains things like cancellation and payment terms;</w:t>
            </w:r>
          </w:p>
        </w:tc>
      </w:tr>
      <w:tr w:rsidR="00FD43D1" w14:paraId="555C6E2B" w14:textId="77777777">
        <w:tc>
          <w:tcPr>
            <w:tcW w:w="2694" w:type="dxa"/>
            <w:shd w:val="clear" w:color="auto" w:fill="auto"/>
          </w:tcPr>
          <w:p w14:paraId="555C6E29"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Public Sector Negotiated Programme” or “Public Sector Programme”</w:t>
            </w:r>
          </w:p>
        </w:tc>
        <w:tc>
          <w:tcPr>
            <w:tcW w:w="6347" w:type="dxa"/>
            <w:shd w:val="clear" w:color="auto" w:fill="auto"/>
          </w:tcPr>
          <w:p w14:paraId="555C6E2A"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current range of Commissionable Inventory and Non-Commissionable Inventory negotiated by CCS and made available to central government, wider public sector and third sector through current and future commercial arrangements with suppliers of travel services and/or venue find services that have entered into an agreement with CCS;</w:t>
            </w:r>
          </w:p>
        </w:tc>
      </w:tr>
      <w:tr w:rsidR="00FD43D1" w14:paraId="555C6E2E" w14:textId="77777777">
        <w:tc>
          <w:tcPr>
            <w:tcW w:w="2694" w:type="dxa"/>
            <w:shd w:val="clear" w:color="auto" w:fill="auto"/>
          </w:tcPr>
          <w:p w14:paraId="555C6E2C"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 Inventory”</w:t>
            </w:r>
          </w:p>
        </w:tc>
        <w:tc>
          <w:tcPr>
            <w:tcW w:w="6347" w:type="dxa"/>
            <w:shd w:val="clear" w:color="auto" w:fill="auto"/>
          </w:tcPr>
          <w:p w14:paraId="555C6E2D"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earns Commissions;</w:t>
            </w:r>
          </w:p>
        </w:tc>
      </w:tr>
      <w:tr w:rsidR="00FD43D1" w14:paraId="555C6E31" w14:textId="77777777">
        <w:tc>
          <w:tcPr>
            <w:tcW w:w="2694" w:type="dxa"/>
            <w:shd w:val="clear" w:color="auto" w:fill="auto"/>
          </w:tcPr>
          <w:p w14:paraId="555C6E2F"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w:t>
            </w:r>
          </w:p>
        </w:tc>
        <w:tc>
          <w:tcPr>
            <w:tcW w:w="6347" w:type="dxa"/>
            <w:shd w:val="clear" w:color="auto" w:fill="auto"/>
          </w:tcPr>
          <w:p w14:paraId="555C6E30"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capable of earning Commissions;</w:t>
            </w:r>
          </w:p>
        </w:tc>
      </w:tr>
      <w:tr w:rsidR="00FD43D1" w14:paraId="555C6E34" w14:textId="77777777">
        <w:tc>
          <w:tcPr>
            <w:tcW w:w="2694" w:type="dxa"/>
            <w:shd w:val="clear" w:color="auto" w:fill="auto"/>
          </w:tcPr>
          <w:p w14:paraId="555C6E32"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“Commissions”</w:t>
            </w:r>
          </w:p>
        </w:tc>
        <w:tc>
          <w:tcPr>
            <w:tcW w:w="6347" w:type="dxa"/>
            <w:shd w:val="clear" w:color="auto" w:fill="auto"/>
          </w:tcPr>
          <w:p w14:paraId="555C6E33"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all monies, gifts, rewards, other income or benefits earned from Third Party Providers on Public Sector and third sector spend through RM6217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w:t>
            </w:r>
          </w:p>
        </w:tc>
      </w:tr>
      <w:tr w:rsidR="00FD43D1" w14:paraId="555C6E37" w14:textId="77777777">
        <w:tc>
          <w:tcPr>
            <w:tcW w:w="2694" w:type="dxa"/>
            <w:shd w:val="clear" w:color="auto" w:fill="auto"/>
          </w:tcPr>
          <w:p w14:paraId="555C6E35"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w:t>
            </w:r>
          </w:p>
        </w:tc>
        <w:tc>
          <w:tcPr>
            <w:tcW w:w="6347" w:type="dxa"/>
            <w:shd w:val="clear" w:color="auto" w:fill="auto"/>
          </w:tcPr>
          <w:p w14:paraId="555C6E36"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any written complaint in relation to the Supplier’s performance of the Services, which shall be handled in accordance with the Complaints Procedure;</w:t>
            </w:r>
          </w:p>
        </w:tc>
      </w:tr>
      <w:tr w:rsidR="00FD43D1" w14:paraId="555C6E3A" w14:textId="77777777">
        <w:tc>
          <w:tcPr>
            <w:tcW w:w="2694" w:type="dxa"/>
            <w:shd w:val="clear" w:color="auto" w:fill="auto"/>
          </w:tcPr>
          <w:p w14:paraId="555C6E38"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“Complaints Procedure”</w:t>
            </w:r>
          </w:p>
        </w:tc>
        <w:tc>
          <w:tcPr>
            <w:tcW w:w="6347" w:type="dxa"/>
            <w:shd w:val="clear" w:color="auto" w:fill="auto"/>
          </w:tcPr>
          <w:p w14:paraId="555C6E39"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procedure for processing Complaints as set out in this Schedule and the Call-Off Contract;</w:t>
            </w:r>
          </w:p>
        </w:tc>
      </w:tr>
      <w:tr w:rsidR="00FD43D1" w14:paraId="555C6E3D" w14:textId="77777777">
        <w:tc>
          <w:tcPr>
            <w:tcW w:w="2694" w:type="dxa"/>
            <w:shd w:val="clear" w:color="auto" w:fill="auto"/>
          </w:tcPr>
          <w:p w14:paraId="555C6E3B"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“Core Working Hours”</w:t>
            </w:r>
          </w:p>
        </w:tc>
        <w:tc>
          <w:tcPr>
            <w:tcW w:w="6347" w:type="dxa"/>
            <w:shd w:val="clear" w:color="auto" w:fill="auto"/>
          </w:tcPr>
          <w:p w14:paraId="555C6E3C"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standard core working hours in each country are between 08.00 and 18:00 (local time);</w:t>
            </w:r>
          </w:p>
        </w:tc>
      </w:tr>
      <w:tr w:rsidR="00FD43D1" w14:paraId="555C6E40" w14:textId="77777777">
        <w:tc>
          <w:tcPr>
            <w:tcW w:w="2694" w:type="dxa"/>
            <w:shd w:val="clear" w:color="auto" w:fill="auto"/>
          </w:tcPr>
          <w:p w14:paraId="555C6E3E"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“Data Set”</w:t>
            </w:r>
          </w:p>
        </w:tc>
        <w:tc>
          <w:tcPr>
            <w:tcW w:w="6347" w:type="dxa"/>
            <w:shd w:val="clear" w:color="auto" w:fill="auto"/>
          </w:tcPr>
          <w:p w14:paraId="555C6E3F"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information on the Buyer’s travel requirements that is composed of separate elements;</w:t>
            </w:r>
          </w:p>
        </w:tc>
      </w:tr>
      <w:tr w:rsidR="00FD43D1" w14:paraId="555C6E43" w14:textId="77777777">
        <w:tc>
          <w:tcPr>
            <w:tcW w:w="2694" w:type="dxa"/>
            <w:shd w:val="clear" w:color="auto" w:fill="auto"/>
          </w:tcPr>
          <w:p w14:paraId="555C6E41"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“Environmental Management System” or (“EMS”)</w:t>
            </w:r>
          </w:p>
        </w:tc>
        <w:tc>
          <w:tcPr>
            <w:tcW w:w="6347" w:type="dxa"/>
            <w:shd w:val="clear" w:color="auto" w:fill="auto"/>
          </w:tcPr>
          <w:p w14:paraId="555C6E42"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bookmarkStart w:id="9" w:name="_heading=h.2lwamvv" w:colFirst="0" w:colLast="0"/>
            <w:bookmarkEnd w:id="9"/>
            <w:r>
              <w:rPr>
                <w:rFonts w:ascii="Arial" w:eastAsia="Arial" w:hAnsi="Arial" w:cs="Arial"/>
                <w:color w:val="000000"/>
              </w:rPr>
              <w:t>the management of an organisation’s environmental programs in a comprehensive, systematic, planned and documented manner. It includes the organisational structure, planning and resources for developing, implementing and maintaining policy for environmental protection;</w:t>
            </w:r>
          </w:p>
        </w:tc>
      </w:tr>
      <w:tr w:rsidR="00FD43D1" w14:paraId="555C6E46" w14:textId="77777777">
        <w:tc>
          <w:tcPr>
            <w:tcW w:w="2694" w:type="dxa"/>
            <w:shd w:val="clear" w:color="auto" w:fill="auto"/>
          </w:tcPr>
          <w:p w14:paraId="555C6E44"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“Executive Services”</w:t>
            </w:r>
          </w:p>
        </w:tc>
        <w:tc>
          <w:tcPr>
            <w:tcW w:w="6347" w:type="dxa"/>
            <w:shd w:val="clear" w:color="auto" w:fill="auto"/>
          </w:tcPr>
          <w:p w14:paraId="555C6E45"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Services set out in paragraphs 6.26 to 6.29 (inclusive) of this Schedule;</w:t>
            </w:r>
          </w:p>
        </w:tc>
      </w:tr>
      <w:tr w:rsidR="00FD43D1" w14:paraId="555C6E49" w14:textId="77777777">
        <w:tc>
          <w:tcPr>
            <w:tcW w:w="2694" w:type="dxa"/>
            <w:shd w:val="clear" w:color="auto" w:fill="auto"/>
          </w:tcPr>
          <w:p w14:paraId="555C6E47"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“Global Distribution System (GDS)”</w:t>
            </w:r>
          </w:p>
        </w:tc>
        <w:tc>
          <w:tcPr>
            <w:tcW w:w="6347" w:type="dxa"/>
            <w:shd w:val="clear" w:color="auto" w:fill="auto"/>
          </w:tcPr>
          <w:p w14:paraId="555C6E48"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rsidR="00FD43D1" w14:paraId="555C6E4E" w14:textId="77777777">
        <w:tc>
          <w:tcPr>
            <w:tcW w:w="2694" w:type="dxa"/>
            <w:shd w:val="clear" w:color="auto" w:fill="auto"/>
          </w:tcPr>
          <w:p w14:paraId="555C6E4A"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“Go Live”</w:t>
            </w:r>
          </w:p>
        </w:tc>
        <w:tc>
          <w:tcPr>
            <w:tcW w:w="6347" w:type="dxa"/>
            <w:shd w:val="clear" w:color="auto" w:fill="auto"/>
          </w:tcPr>
          <w:p w14:paraId="555C6E4B" w14:textId="77777777" w:rsidR="00FD43D1" w:rsidRDefault="008B7F26">
            <w:pPr>
              <w:pBdr>
                <w:top w:val="nil"/>
                <w:left w:val="nil"/>
                <w:bottom w:val="nil"/>
                <w:right w:val="nil"/>
                <w:between w:val="nil"/>
              </w:pBdr>
              <w:spacing w:before="60" w:after="60" w:line="240" w:lineRule="auto"/>
              <w:jc w:val="both"/>
              <w:rPr>
                <w:rFonts w:ascii="Arial" w:eastAsia="Arial" w:hAnsi="Arial" w:cs="Arial"/>
                <w:color w:val="000000"/>
              </w:rPr>
            </w:pPr>
            <w:r>
              <w:rPr>
                <w:rFonts w:ascii="Arial" w:eastAsia="Arial" w:hAnsi="Arial" w:cs="Arial"/>
                <w:color w:val="000000"/>
              </w:rPr>
              <w:t>the date from which the Supplier shall ensure that all discounted Commissionable Inventory and Non-Commissionable Inventory rates are available to book by the Buyer and which date shall be specified in either:</w:t>
            </w:r>
          </w:p>
          <w:p w14:paraId="555C6E4C" w14:textId="77777777" w:rsidR="00FD43D1" w:rsidRDefault="008B7F26">
            <w:pPr>
              <w:numPr>
                <w:ilvl w:val="0"/>
                <w:numId w:val="3"/>
              </w:numPr>
              <w:pBdr>
                <w:top w:val="nil"/>
                <w:left w:val="nil"/>
                <w:bottom w:val="nil"/>
                <w:right w:val="nil"/>
                <w:between w:val="nil"/>
              </w:pBdr>
              <w:spacing w:before="60" w:after="0" w:line="240" w:lineRule="auto"/>
              <w:ind w:hanging="689"/>
              <w:jc w:val="both"/>
              <w:rPr>
                <w:rFonts w:ascii="Arial" w:eastAsia="Arial" w:hAnsi="Arial" w:cs="Arial"/>
                <w:color w:val="000000"/>
              </w:rPr>
            </w:pPr>
            <w:r>
              <w:rPr>
                <w:rFonts w:ascii="Arial" w:eastAsia="Arial" w:hAnsi="Arial" w:cs="Arial"/>
                <w:color w:val="000000"/>
              </w:rPr>
              <w:t>(where applicable) the Implementation Plan; or</w:t>
            </w:r>
          </w:p>
          <w:p w14:paraId="555C6E4D" w14:textId="77777777" w:rsidR="00FD43D1" w:rsidRDefault="008B7F26">
            <w:pPr>
              <w:numPr>
                <w:ilvl w:val="0"/>
                <w:numId w:val="3"/>
              </w:numPr>
              <w:pBdr>
                <w:top w:val="nil"/>
                <w:left w:val="nil"/>
                <w:bottom w:val="nil"/>
                <w:right w:val="nil"/>
                <w:between w:val="nil"/>
              </w:pBdr>
              <w:spacing w:after="60" w:line="240" w:lineRule="auto"/>
              <w:ind w:hanging="689"/>
              <w:jc w:val="both"/>
              <w:rPr>
                <w:rFonts w:ascii="Arial" w:eastAsia="Arial" w:hAnsi="Arial" w:cs="Arial"/>
                <w:color w:val="000000"/>
              </w:rPr>
            </w:pPr>
            <w:r>
              <w:rPr>
                <w:rFonts w:ascii="Arial" w:eastAsia="Arial" w:hAnsi="Arial" w:cs="Arial"/>
                <w:color w:val="000000"/>
              </w:rPr>
              <w:t>the Order Form;</w:t>
            </w:r>
          </w:p>
        </w:tc>
      </w:tr>
      <w:tr w:rsidR="00FD43D1" w14:paraId="555C6E51" w14:textId="77777777">
        <w:tc>
          <w:tcPr>
            <w:tcW w:w="2694" w:type="dxa"/>
            <w:shd w:val="clear" w:color="auto" w:fill="auto"/>
          </w:tcPr>
          <w:p w14:paraId="555C6E4F"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“Group Booking”</w:t>
            </w:r>
          </w:p>
        </w:tc>
        <w:tc>
          <w:tcPr>
            <w:tcW w:w="6347" w:type="dxa"/>
            <w:shd w:val="clear" w:color="auto" w:fill="auto"/>
          </w:tcPr>
          <w:p w14:paraId="555C6E50"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made for nine (9) or more Travellers and/or delegates;</w:t>
            </w:r>
          </w:p>
        </w:tc>
      </w:tr>
      <w:tr w:rsidR="00FD43D1" w14:paraId="555C6E54" w14:textId="77777777">
        <w:tc>
          <w:tcPr>
            <w:tcW w:w="2694" w:type="dxa"/>
            <w:shd w:val="clear" w:color="auto" w:fill="auto"/>
          </w:tcPr>
          <w:p w14:paraId="555C6E52"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“Implant”</w:t>
            </w:r>
          </w:p>
        </w:tc>
        <w:tc>
          <w:tcPr>
            <w:tcW w:w="6347" w:type="dxa"/>
            <w:shd w:val="clear" w:color="auto" w:fill="auto"/>
          </w:tcPr>
          <w:p w14:paraId="555C6E53"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 employee of the Supplier based at the Buyer Premises;</w:t>
            </w:r>
          </w:p>
        </w:tc>
      </w:tr>
      <w:tr w:rsidR="00FD43D1" w14:paraId="555C6E57" w14:textId="77777777">
        <w:tc>
          <w:tcPr>
            <w:tcW w:w="2694" w:type="dxa"/>
            <w:shd w:val="clear" w:color="auto" w:fill="auto"/>
          </w:tcPr>
          <w:p w14:paraId="555C6E55"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“Implementation Period”</w:t>
            </w:r>
          </w:p>
        </w:tc>
        <w:tc>
          <w:tcPr>
            <w:tcW w:w="6347" w:type="dxa"/>
            <w:shd w:val="clear" w:color="auto" w:fill="auto"/>
          </w:tcPr>
          <w:p w14:paraId="555C6E56"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(where applicable) has the meaning given in Call-Off Schedule 13 (Implementation Plan and Testing);</w:t>
            </w:r>
          </w:p>
        </w:tc>
      </w:tr>
      <w:tr w:rsidR="00FD43D1" w14:paraId="555C6E5A" w14:textId="77777777">
        <w:tc>
          <w:tcPr>
            <w:tcW w:w="2694" w:type="dxa"/>
            <w:shd w:val="clear" w:color="auto" w:fill="auto"/>
          </w:tcPr>
          <w:p w14:paraId="555C6E58"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“Inventory”</w:t>
            </w:r>
          </w:p>
        </w:tc>
        <w:tc>
          <w:tcPr>
            <w:tcW w:w="6347" w:type="dxa"/>
            <w:shd w:val="clear" w:color="auto" w:fill="auto"/>
          </w:tcPr>
          <w:p w14:paraId="555C6E59"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the complete list of fares and/or rates on the open market (regardless of whether Commissionable or not), including all CCS Public Sector Negotiated Programme rates and fares; </w:t>
            </w:r>
          </w:p>
        </w:tc>
      </w:tr>
      <w:tr w:rsidR="00FD43D1" w14:paraId="555C6E5D" w14:textId="77777777">
        <w:tc>
          <w:tcPr>
            <w:tcW w:w="2694" w:type="dxa"/>
            <w:shd w:val="clear" w:color="auto" w:fill="auto"/>
          </w:tcPr>
          <w:p w14:paraId="555C6E5B"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“LCC”</w:t>
            </w:r>
          </w:p>
        </w:tc>
        <w:tc>
          <w:tcPr>
            <w:tcW w:w="6347" w:type="dxa"/>
            <w:shd w:val="clear" w:color="auto" w:fill="auto"/>
          </w:tcPr>
          <w:p w14:paraId="555C6E5C"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low cost carrier e.g. Easyjet, Ryanair;</w:t>
            </w:r>
          </w:p>
        </w:tc>
      </w:tr>
      <w:tr w:rsidR="00FD43D1" w14:paraId="555C6E60" w14:textId="77777777">
        <w:tc>
          <w:tcPr>
            <w:tcW w:w="2694" w:type="dxa"/>
            <w:shd w:val="clear" w:color="auto" w:fill="auto"/>
          </w:tcPr>
          <w:p w14:paraId="555C6E5E"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“Level 3 Data”</w:t>
            </w:r>
          </w:p>
        </w:tc>
        <w:tc>
          <w:tcPr>
            <w:tcW w:w="6347" w:type="dxa"/>
            <w:shd w:val="clear" w:color="auto" w:fill="auto"/>
          </w:tcPr>
          <w:p w14:paraId="555C6E5F"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rsidR="00FD43D1" w14:paraId="555C6E63" w14:textId="77777777">
        <w:tc>
          <w:tcPr>
            <w:tcW w:w="2694" w:type="dxa"/>
            <w:shd w:val="clear" w:color="auto" w:fill="auto"/>
          </w:tcPr>
          <w:p w14:paraId="555C6E61"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 Modal Booking”</w:t>
            </w:r>
          </w:p>
        </w:tc>
        <w:tc>
          <w:tcPr>
            <w:tcW w:w="6347" w:type="dxa"/>
            <w:shd w:val="clear" w:color="auto" w:fill="auto"/>
          </w:tcPr>
          <w:p w14:paraId="555C6E62"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for a journey combining two or more modes of travel e.g. air + rail or rail + ferry;</w:t>
            </w:r>
          </w:p>
        </w:tc>
      </w:tr>
      <w:tr w:rsidR="00FD43D1" w14:paraId="555C6E66" w14:textId="77777777">
        <w:tc>
          <w:tcPr>
            <w:tcW w:w="2694" w:type="dxa"/>
            <w:shd w:val="clear" w:color="auto" w:fill="auto"/>
          </w:tcPr>
          <w:p w14:paraId="555C6E64"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“Multi-City Flight”</w:t>
            </w:r>
          </w:p>
        </w:tc>
        <w:tc>
          <w:tcPr>
            <w:tcW w:w="6347" w:type="dxa"/>
            <w:shd w:val="clear" w:color="auto" w:fill="auto"/>
          </w:tcPr>
          <w:p w14:paraId="555C6E65"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rsidR="00FD43D1" w14:paraId="555C6E69" w14:textId="77777777">
        <w:tc>
          <w:tcPr>
            <w:tcW w:w="2694" w:type="dxa"/>
            <w:shd w:val="clear" w:color="auto" w:fill="auto"/>
          </w:tcPr>
          <w:p w14:paraId="555C6E67"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“New Distribution Capability” (“NDC”)</w:t>
            </w:r>
          </w:p>
        </w:tc>
        <w:tc>
          <w:tcPr>
            <w:tcW w:w="6347" w:type="dxa"/>
            <w:shd w:val="clear" w:color="auto" w:fill="auto"/>
          </w:tcPr>
          <w:p w14:paraId="555C6E68"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travel industry-supported program (NDC Program) launched by IATA for the development and market adoption of a new, XML-based data transmission standard (NDC Standard). The NDC Standard enhances the capability of communications between airlines and travel agents;</w:t>
            </w:r>
          </w:p>
        </w:tc>
      </w:tr>
      <w:tr w:rsidR="00FD43D1" w14:paraId="555C6E6C" w14:textId="77777777">
        <w:tc>
          <w:tcPr>
            <w:tcW w:w="2694" w:type="dxa"/>
            <w:shd w:val="clear" w:color="auto" w:fill="auto"/>
          </w:tcPr>
          <w:p w14:paraId="555C6E6A"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 Inventory”</w:t>
            </w:r>
          </w:p>
        </w:tc>
        <w:tc>
          <w:tcPr>
            <w:tcW w:w="6347" w:type="dxa"/>
            <w:shd w:val="clear" w:color="auto" w:fill="auto"/>
          </w:tcPr>
          <w:p w14:paraId="555C6E6B"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does not earn Commissions;</w:t>
            </w:r>
          </w:p>
        </w:tc>
      </w:tr>
      <w:tr w:rsidR="00FD43D1" w14:paraId="555C6E6F" w14:textId="77777777">
        <w:tc>
          <w:tcPr>
            <w:tcW w:w="2694" w:type="dxa"/>
            <w:shd w:val="clear" w:color="auto" w:fill="auto"/>
          </w:tcPr>
          <w:p w14:paraId="555C6E6D"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w:t>
            </w:r>
          </w:p>
        </w:tc>
        <w:tc>
          <w:tcPr>
            <w:tcW w:w="6347" w:type="dxa"/>
            <w:shd w:val="clear" w:color="auto" w:fill="auto"/>
          </w:tcPr>
          <w:p w14:paraId="555C6E6E"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not capable of earning Commissions;</w:t>
            </w:r>
          </w:p>
        </w:tc>
      </w:tr>
      <w:tr w:rsidR="00FD43D1" w14:paraId="555C6E72" w14:textId="77777777">
        <w:tc>
          <w:tcPr>
            <w:tcW w:w="2694" w:type="dxa"/>
            <w:shd w:val="clear" w:color="auto" w:fill="auto"/>
          </w:tcPr>
          <w:p w14:paraId="555C6E70"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“Offline Booking Solution”</w:t>
            </w:r>
          </w:p>
        </w:tc>
        <w:tc>
          <w:tcPr>
            <w:tcW w:w="6347" w:type="dxa"/>
            <w:shd w:val="clear" w:color="auto" w:fill="auto"/>
          </w:tcPr>
          <w:p w14:paraId="555C6E71"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FD43D1" w14:paraId="555C6E75" w14:textId="77777777">
        <w:tc>
          <w:tcPr>
            <w:tcW w:w="2694" w:type="dxa"/>
            <w:shd w:val="clear" w:color="auto" w:fill="auto"/>
          </w:tcPr>
          <w:p w14:paraId="555C6E73"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“Online Booking Solution”</w:t>
            </w:r>
          </w:p>
        </w:tc>
        <w:tc>
          <w:tcPr>
            <w:tcW w:w="6347" w:type="dxa"/>
            <w:shd w:val="clear" w:color="auto" w:fill="auto"/>
          </w:tcPr>
          <w:p w14:paraId="555C6E74"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FD43D1" w14:paraId="555C6E78" w14:textId="77777777">
        <w:tc>
          <w:tcPr>
            <w:tcW w:w="2694" w:type="dxa"/>
            <w:shd w:val="clear" w:color="auto" w:fill="auto"/>
          </w:tcPr>
          <w:p w14:paraId="555C6E76"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“Online Booking System”</w:t>
            </w:r>
          </w:p>
        </w:tc>
        <w:tc>
          <w:tcPr>
            <w:tcW w:w="6347" w:type="dxa"/>
            <w:shd w:val="clear" w:color="auto" w:fill="auto"/>
          </w:tcPr>
          <w:p w14:paraId="555C6E77"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w:t>
            </w:r>
          </w:p>
        </w:tc>
      </w:tr>
      <w:tr w:rsidR="00FD43D1" w14:paraId="555C6E7D" w14:textId="77777777">
        <w:tc>
          <w:tcPr>
            <w:tcW w:w="2694" w:type="dxa"/>
            <w:shd w:val="clear" w:color="auto" w:fill="auto"/>
          </w:tcPr>
          <w:p w14:paraId="555C6E79"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 xml:space="preserve">“Price Match” </w:t>
            </w:r>
          </w:p>
        </w:tc>
        <w:tc>
          <w:tcPr>
            <w:tcW w:w="6347" w:type="dxa"/>
            <w:shd w:val="clear" w:color="auto" w:fill="auto"/>
          </w:tcPr>
          <w:p w14:paraId="555C6E7A"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14:paraId="555C6E7B" w14:textId="77777777" w:rsidR="00FD43D1" w:rsidRDefault="008B7F26">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the airfare or rail ticket needs to be ‘like for like’ (exact origin, destination and routing) in the same class, at the exact same times and dates of travel and with the same ticketing restrictions and penalties, and include any ancillary fees and taxes; and</w:t>
            </w:r>
          </w:p>
          <w:p w14:paraId="555C6E7C" w14:textId="77777777" w:rsidR="00FD43D1" w:rsidRDefault="008B7F26">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b)</w:t>
            </w:r>
            <w:r>
              <w:rPr>
                <w:rFonts w:ascii="Arial" w:eastAsia="Arial" w:hAnsi="Arial" w:cs="Arial"/>
                <w:color w:val="000000"/>
              </w:rPr>
              <w:tab/>
              <w:t>the accommodation, booking terms and conditions must be the same; including, but not limited to, cancellation policy, payment terms, room type, meal plan, VAT or local taxes, credit card fees;</w:t>
            </w:r>
          </w:p>
        </w:tc>
      </w:tr>
      <w:tr w:rsidR="00FD43D1" w14:paraId="555C6E80" w14:textId="77777777">
        <w:tc>
          <w:tcPr>
            <w:tcW w:w="2694" w:type="dxa"/>
            <w:shd w:val="clear" w:color="auto" w:fill="auto"/>
          </w:tcPr>
          <w:p w14:paraId="555C6E7E"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“Protected Characteristics”</w:t>
            </w:r>
          </w:p>
        </w:tc>
        <w:tc>
          <w:tcPr>
            <w:tcW w:w="6347" w:type="dxa"/>
            <w:shd w:val="clear" w:color="auto" w:fill="auto"/>
          </w:tcPr>
          <w:p w14:paraId="555C6E7F"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age; disability; gender reassignment; marriage and civil partnership; pregnancy and maternity; race; religion or belief; sex; sexual orientation;</w:t>
            </w:r>
          </w:p>
        </w:tc>
      </w:tr>
      <w:tr w:rsidR="00FD43D1" w14:paraId="555C6E83" w14:textId="77777777">
        <w:tc>
          <w:tcPr>
            <w:tcW w:w="2694" w:type="dxa"/>
            <w:shd w:val="clear" w:color="auto" w:fill="auto"/>
          </w:tcPr>
          <w:p w14:paraId="555C6E81"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“Quality Management System” (QMS)</w:t>
            </w:r>
          </w:p>
        </w:tc>
        <w:tc>
          <w:tcPr>
            <w:tcW w:w="6347" w:type="dxa"/>
            <w:shd w:val="clear" w:color="auto" w:fill="auto"/>
          </w:tcPr>
          <w:p w14:paraId="555C6E82"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business processes focused on achieving quality policy and quality objectives to meet the Buyer’s requirements. It is expressed as the organisational structure, policies, procedures, processes and resources needed to implement quality management;</w:t>
            </w:r>
          </w:p>
        </w:tc>
      </w:tr>
      <w:tr w:rsidR="00FD43D1" w14:paraId="555C6E86" w14:textId="77777777">
        <w:tc>
          <w:tcPr>
            <w:tcW w:w="2694" w:type="dxa"/>
            <w:shd w:val="clear" w:color="auto" w:fill="auto"/>
          </w:tcPr>
          <w:p w14:paraId="555C6E84"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 for Travel Codes” (RFT)</w:t>
            </w:r>
          </w:p>
        </w:tc>
        <w:tc>
          <w:tcPr>
            <w:tcW w:w="6347" w:type="dxa"/>
            <w:shd w:val="clear" w:color="auto" w:fill="auto"/>
          </w:tcPr>
          <w:p w14:paraId="555C6E85"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code to capture Travellers’ business reasons for travel or nature of the business benefit derived or expected to be derived as a result of travel;</w:t>
            </w:r>
          </w:p>
        </w:tc>
      </w:tr>
      <w:tr w:rsidR="00FD43D1" w14:paraId="555C6E89" w14:textId="77777777">
        <w:tc>
          <w:tcPr>
            <w:tcW w:w="2694" w:type="dxa"/>
            <w:shd w:val="clear" w:color="auto" w:fill="auto"/>
          </w:tcPr>
          <w:p w14:paraId="555C6E87"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“Reasons”</w:t>
            </w:r>
          </w:p>
        </w:tc>
        <w:tc>
          <w:tcPr>
            <w:tcW w:w="6347" w:type="dxa"/>
            <w:shd w:val="clear" w:color="auto" w:fill="auto"/>
          </w:tcPr>
          <w:p w14:paraId="555C6E88"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cause, explanation, or justification for selecting a specific journey and/or accommodation;</w:t>
            </w:r>
          </w:p>
        </w:tc>
      </w:tr>
      <w:tr w:rsidR="00FD43D1" w14:paraId="555C6E90" w14:textId="77777777">
        <w:tc>
          <w:tcPr>
            <w:tcW w:w="2694" w:type="dxa"/>
            <w:shd w:val="clear" w:color="auto" w:fill="auto"/>
          </w:tcPr>
          <w:p w14:paraId="555C6E8A"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“Security Requirements”</w:t>
            </w:r>
          </w:p>
        </w:tc>
        <w:tc>
          <w:tcPr>
            <w:tcW w:w="6347" w:type="dxa"/>
            <w:shd w:val="clear" w:color="auto" w:fill="auto"/>
          </w:tcPr>
          <w:p w14:paraId="555C6E8B"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security requirements set out or referred to in:</w:t>
            </w:r>
          </w:p>
          <w:p w14:paraId="555C6E8C" w14:textId="77777777" w:rsidR="00FD43D1" w:rsidRDefault="008B7F26">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this Schedule (as applicable to the relevant Lot in question);</w:t>
            </w:r>
          </w:p>
          <w:p w14:paraId="555C6E8D" w14:textId="77777777" w:rsidR="00FD43D1" w:rsidRDefault="008B7F26">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Framework Schedule 9 (Cyber Essentials Scheme);</w:t>
            </w:r>
          </w:p>
          <w:p w14:paraId="555C6E8E" w14:textId="77777777" w:rsidR="00FD43D1" w:rsidRDefault="008B7F26">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Call-Off Schedule 9A (Security) or Call-Off Schedule 9B (MOD Security) (as applicable); and</w:t>
            </w:r>
          </w:p>
          <w:p w14:paraId="555C6E8F" w14:textId="77777777" w:rsidR="00FD43D1" w:rsidRDefault="008B7F26">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any Security Management Plan;</w:t>
            </w:r>
          </w:p>
        </w:tc>
      </w:tr>
      <w:tr w:rsidR="00FD43D1" w14:paraId="555C6E93" w14:textId="77777777">
        <w:tc>
          <w:tcPr>
            <w:tcW w:w="2694" w:type="dxa"/>
            <w:shd w:val="clear" w:color="auto" w:fill="auto"/>
          </w:tcPr>
          <w:p w14:paraId="555C6E91"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“Shared Facilities Register”</w:t>
            </w:r>
          </w:p>
        </w:tc>
        <w:tc>
          <w:tcPr>
            <w:tcW w:w="6347" w:type="dxa"/>
            <w:shd w:val="clear" w:color="auto" w:fill="auto"/>
          </w:tcPr>
          <w:p w14:paraId="555C6E92"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a list of meeting </w:t>
            </w:r>
            <w:r>
              <w:rPr>
                <w:rFonts w:ascii="Arial" w:eastAsia="Arial" w:hAnsi="Arial" w:cs="Arial"/>
              </w:rPr>
              <w:t>spaces</w:t>
            </w:r>
            <w:r>
              <w:rPr>
                <w:rFonts w:ascii="Arial" w:eastAsia="Arial" w:hAnsi="Arial" w:cs="Arial"/>
                <w:color w:val="000000"/>
              </w:rPr>
              <w:t xml:space="preserve"> across the Government estate which can be used without charge. The register is owned and managed by the Government Property Unit (GPU) </w:t>
            </w:r>
            <w:r>
              <w:rPr>
                <w:rFonts w:ascii="Arial" w:eastAsia="Arial" w:hAnsi="Arial" w:cs="Arial"/>
              </w:rPr>
              <w:t>within the Cabinet</w:t>
            </w:r>
            <w:r>
              <w:rPr>
                <w:rFonts w:ascii="Arial" w:eastAsia="Arial" w:hAnsi="Arial" w:cs="Arial"/>
                <w:color w:val="000000"/>
              </w:rPr>
              <w:t xml:space="preserve"> Office and provides the host departments’ contact details of the local administrator that will book the rooms subject to availability;</w:t>
            </w:r>
          </w:p>
        </w:tc>
      </w:tr>
      <w:tr w:rsidR="00FD43D1" w14:paraId="555C6E96" w14:textId="77777777">
        <w:tc>
          <w:tcPr>
            <w:tcW w:w="2694" w:type="dxa"/>
            <w:shd w:val="clear" w:color="auto" w:fill="auto"/>
          </w:tcPr>
          <w:p w14:paraId="555C6E94"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“Super User”</w:t>
            </w:r>
          </w:p>
        </w:tc>
        <w:tc>
          <w:tcPr>
            <w:tcW w:w="6347" w:type="dxa"/>
            <w:shd w:val="clear" w:color="auto" w:fill="auto"/>
          </w:tcPr>
          <w:p w14:paraId="555C6E95"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FD43D1" w14:paraId="555C6E99" w14:textId="77777777">
        <w:tc>
          <w:tcPr>
            <w:tcW w:w="2694" w:type="dxa"/>
            <w:shd w:val="clear" w:color="auto" w:fill="auto"/>
          </w:tcPr>
          <w:p w14:paraId="555C6E97"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“Third Party Provider”</w:t>
            </w:r>
          </w:p>
        </w:tc>
        <w:tc>
          <w:tcPr>
            <w:tcW w:w="6347" w:type="dxa"/>
            <w:shd w:val="clear" w:color="auto" w:fill="auto"/>
          </w:tcPr>
          <w:p w14:paraId="555C6E98"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end provider of the travel and/or venue services that has a direct contract with the Buyer (for example: a Train Operating Company (TOC), a hotel, an airline);</w:t>
            </w:r>
          </w:p>
        </w:tc>
      </w:tr>
      <w:tr w:rsidR="00FD43D1" w14:paraId="555C6E9C" w14:textId="77777777">
        <w:tc>
          <w:tcPr>
            <w:tcW w:w="2694" w:type="dxa"/>
            <w:shd w:val="clear" w:color="auto" w:fill="auto"/>
          </w:tcPr>
          <w:p w14:paraId="555C6E9A"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“Ticket on Departure” “(TOD)”</w:t>
            </w:r>
          </w:p>
        </w:tc>
        <w:tc>
          <w:tcPr>
            <w:tcW w:w="6347" w:type="dxa"/>
            <w:shd w:val="clear" w:color="auto" w:fill="auto"/>
          </w:tcPr>
          <w:p w14:paraId="555C6E9B"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collection of tickets at the train station;</w:t>
            </w:r>
          </w:p>
        </w:tc>
      </w:tr>
      <w:tr w:rsidR="00FD43D1" w14:paraId="555C6E9F" w14:textId="77777777">
        <w:tc>
          <w:tcPr>
            <w:tcW w:w="2694" w:type="dxa"/>
            <w:shd w:val="clear" w:color="auto" w:fill="auto"/>
          </w:tcPr>
          <w:p w14:paraId="555C6E9D" w14:textId="77777777" w:rsidR="00FD43D1" w:rsidRDefault="008B7F26">
            <w:pPr>
              <w:pBdr>
                <w:top w:val="nil"/>
                <w:left w:val="nil"/>
                <w:bottom w:val="nil"/>
                <w:right w:val="nil"/>
                <w:between w:val="nil"/>
              </w:pBdr>
              <w:spacing w:before="60" w:after="60" w:line="240" w:lineRule="auto"/>
              <w:rPr>
                <w:rFonts w:ascii="Arial" w:eastAsia="Arial" w:hAnsi="Arial" w:cs="Arial"/>
                <w:b/>
                <w:color w:val="000000"/>
              </w:rPr>
            </w:pPr>
            <w:r>
              <w:rPr>
                <w:rFonts w:ascii="Arial" w:eastAsia="Arial" w:hAnsi="Arial" w:cs="Arial"/>
                <w:b/>
                <w:color w:val="000000"/>
              </w:rPr>
              <w:t>“TOC”</w:t>
            </w:r>
          </w:p>
        </w:tc>
        <w:tc>
          <w:tcPr>
            <w:tcW w:w="6347" w:type="dxa"/>
            <w:shd w:val="clear" w:color="auto" w:fill="auto"/>
          </w:tcPr>
          <w:p w14:paraId="555C6E9E"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is an acronym for Train Operating Company; a business operating passenger train services;</w:t>
            </w:r>
          </w:p>
        </w:tc>
      </w:tr>
      <w:tr w:rsidR="00FD43D1" w14:paraId="555C6EA2" w14:textId="77777777">
        <w:tc>
          <w:tcPr>
            <w:tcW w:w="2694" w:type="dxa"/>
            <w:shd w:val="clear" w:color="auto" w:fill="auto"/>
          </w:tcPr>
          <w:p w14:paraId="555C6EA0"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“Travel/Expenses/ Meeting Policy”</w:t>
            </w:r>
          </w:p>
        </w:tc>
        <w:tc>
          <w:tcPr>
            <w:tcW w:w="6347" w:type="dxa"/>
            <w:shd w:val="clear" w:color="auto" w:fill="auto"/>
          </w:tcPr>
          <w:p w14:paraId="555C6EA1"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policy, which clarifies its position on business travel, expenses and meetings and defines the procedures to be followed by employees, agents or representatives of the Buyer for authorised business travel and tells them what they can and can't spend on travel, expenses and meetings;</w:t>
            </w:r>
          </w:p>
        </w:tc>
      </w:tr>
      <w:tr w:rsidR="00FD43D1" w14:paraId="555C6EA5" w14:textId="77777777">
        <w:tc>
          <w:tcPr>
            <w:tcW w:w="2694" w:type="dxa"/>
            <w:shd w:val="clear" w:color="auto" w:fill="auto"/>
          </w:tcPr>
          <w:p w14:paraId="555C6EA3"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“Traveller”</w:t>
            </w:r>
          </w:p>
        </w:tc>
        <w:tc>
          <w:tcPr>
            <w:tcW w:w="6347" w:type="dxa"/>
            <w:shd w:val="clear" w:color="auto" w:fill="auto"/>
          </w:tcPr>
          <w:p w14:paraId="555C6EA4"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 and</w:t>
            </w:r>
          </w:p>
        </w:tc>
      </w:tr>
      <w:tr w:rsidR="00FD43D1" w14:paraId="555C6EA8" w14:textId="77777777">
        <w:tc>
          <w:tcPr>
            <w:tcW w:w="2694" w:type="dxa"/>
            <w:shd w:val="clear" w:color="auto" w:fill="auto"/>
          </w:tcPr>
          <w:p w14:paraId="555C6EA6" w14:textId="77777777" w:rsidR="00FD43D1" w:rsidRDefault="008B7F26">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“Unit Identification Number” or “UIN”</w:t>
            </w:r>
          </w:p>
        </w:tc>
        <w:tc>
          <w:tcPr>
            <w:tcW w:w="6347" w:type="dxa"/>
            <w:shd w:val="clear" w:color="auto" w:fill="auto"/>
          </w:tcPr>
          <w:p w14:paraId="555C6EA7" w14:textId="77777777" w:rsidR="00FD43D1" w:rsidRDefault="008B7F26">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common ‘data item’ to identify units, sub-units, organisations or groupings of organisations within the Buyer organisation.</w:t>
            </w:r>
          </w:p>
        </w:tc>
      </w:tr>
    </w:tbl>
    <w:p w14:paraId="555C6EA9" w14:textId="77777777" w:rsidR="00FD43D1" w:rsidRDefault="008B7F26">
      <w:pPr>
        <w:rPr>
          <w:rFonts w:ascii="Arial" w:eastAsia="Arial" w:hAnsi="Arial" w:cs="Arial"/>
        </w:rPr>
      </w:pPr>
      <w:r>
        <w:br w:type="page"/>
      </w:r>
    </w:p>
    <w:p w14:paraId="555C6EAA" w14:textId="77777777" w:rsidR="00FD43D1" w:rsidRDefault="008B7F26">
      <w:pPr>
        <w:spacing w:after="240" w:line="240" w:lineRule="auto"/>
        <w:jc w:val="center"/>
        <w:rPr>
          <w:rFonts w:ascii="Arial" w:eastAsia="Arial" w:hAnsi="Arial" w:cs="Arial"/>
          <w:b/>
        </w:rPr>
      </w:pPr>
      <w:r>
        <w:rPr>
          <w:rFonts w:ascii="Arial" w:eastAsia="Arial" w:hAnsi="Arial" w:cs="Arial"/>
          <w:b/>
        </w:rPr>
        <w:lastRenderedPageBreak/>
        <w:t>Annex 2: Local Amendments</w:t>
      </w:r>
    </w:p>
    <w:p w14:paraId="555C6EAB" w14:textId="77777777" w:rsidR="00FD43D1" w:rsidRDefault="008B7F26">
      <w:pPr>
        <w:pBdr>
          <w:top w:val="nil"/>
          <w:left w:val="nil"/>
          <w:bottom w:val="nil"/>
          <w:right w:val="nil"/>
          <w:between w:val="nil"/>
        </w:pBdr>
        <w:spacing w:after="120" w:line="240" w:lineRule="auto"/>
        <w:rPr>
          <w:rFonts w:ascii="Arial" w:eastAsia="Arial" w:hAnsi="Arial" w:cs="Arial"/>
          <w:i/>
          <w:color w:val="000000"/>
          <w:highlight w:val="yellow"/>
        </w:rPr>
      </w:pPr>
      <w:r>
        <w:rPr>
          <w:rFonts w:ascii="Arial" w:eastAsia="Arial" w:hAnsi="Arial" w:cs="Arial"/>
          <w:color w:val="000000"/>
          <w:highlight w:val="yellow"/>
        </w:rPr>
        <w:t>[</w:t>
      </w:r>
      <w:r>
        <w:rPr>
          <w:rFonts w:ascii="Arial" w:eastAsia="Arial" w:hAnsi="Arial" w:cs="Arial"/>
          <w:b/>
          <w:i/>
          <w:color w:val="000000"/>
          <w:highlight w:val="yellow"/>
        </w:rPr>
        <w:t>Guidance note</w:t>
      </w:r>
      <w:r>
        <w:rPr>
          <w:rFonts w:ascii="Arial" w:eastAsia="Arial" w:hAnsi="Arial" w:cs="Arial"/>
          <w:i/>
          <w:color w:val="000000"/>
          <w:highlight w:val="yellow"/>
        </w:rPr>
        <w:t>: See paragraphs 6.8 to 6.13 of the main body of this Schedule for the scope of Local Amendments. This Annex 2 is to be completed by the Supplier for the Buyer’s approval if the Supplier is required to perform the Services in a country that has mandatory law requirements that cannot be contracted out of and that are either:</w:t>
      </w:r>
    </w:p>
    <w:p w14:paraId="555C6EAC" w14:textId="77777777" w:rsidR="00FD43D1" w:rsidRDefault="008B7F26">
      <w:pPr>
        <w:pBdr>
          <w:top w:val="nil"/>
          <w:left w:val="nil"/>
          <w:bottom w:val="nil"/>
          <w:right w:val="nil"/>
          <w:between w:val="nil"/>
        </w:pBdr>
        <w:tabs>
          <w:tab w:val="left" w:pos="851"/>
        </w:tabs>
        <w:spacing w:after="120" w:line="240" w:lineRule="auto"/>
        <w:ind w:left="851" w:hanging="851"/>
        <w:rPr>
          <w:rFonts w:ascii="Arial" w:eastAsia="Arial" w:hAnsi="Arial" w:cs="Arial"/>
          <w:i/>
          <w:color w:val="000000"/>
          <w:highlight w:val="yellow"/>
        </w:rPr>
      </w:pPr>
      <w:r>
        <w:rPr>
          <w:rFonts w:ascii="Arial" w:eastAsia="Arial" w:hAnsi="Arial" w:cs="Arial"/>
          <w:i/>
          <w:color w:val="000000"/>
          <w:highlight w:val="yellow"/>
        </w:rPr>
        <w:t>(a)</w:t>
      </w:r>
      <w:r>
        <w:rPr>
          <w:rFonts w:ascii="Arial" w:eastAsia="Arial" w:hAnsi="Arial" w:cs="Arial"/>
          <w:i/>
          <w:color w:val="000000"/>
          <w:highlight w:val="yellow"/>
        </w:rPr>
        <w:tab/>
        <w:t xml:space="preserve">not covered in the Call-Off Contract, but must as a matter of law be included; or </w:t>
      </w:r>
    </w:p>
    <w:p w14:paraId="555C6EAD" w14:textId="77777777" w:rsidR="00FD43D1" w:rsidRDefault="008B7F26">
      <w:pPr>
        <w:pBdr>
          <w:top w:val="nil"/>
          <w:left w:val="nil"/>
          <w:bottom w:val="nil"/>
          <w:right w:val="nil"/>
          <w:between w:val="nil"/>
        </w:pBdr>
        <w:tabs>
          <w:tab w:val="left" w:pos="851"/>
        </w:tabs>
        <w:spacing w:after="120" w:line="240" w:lineRule="auto"/>
        <w:ind w:left="851" w:hanging="851"/>
        <w:rPr>
          <w:rFonts w:ascii="Arial" w:eastAsia="Arial" w:hAnsi="Arial" w:cs="Arial"/>
          <w:i/>
          <w:color w:val="000000"/>
          <w:highlight w:val="yellow"/>
        </w:rPr>
      </w:pPr>
      <w:r>
        <w:rPr>
          <w:rFonts w:ascii="Arial" w:eastAsia="Arial" w:hAnsi="Arial" w:cs="Arial"/>
          <w:i/>
          <w:color w:val="000000"/>
          <w:highlight w:val="yellow"/>
        </w:rPr>
        <w:t>(b)</w:t>
      </w:r>
      <w:r>
        <w:rPr>
          <w:rFonts w:ascii="Arial" w:eastAsia="Arial" w:hAnsi="Arial" w:cs="Arial"/>
          <w:i/>
          <w:color w:val="000000"/>
          <w:highlight w:val="yellow"/>
        </w:rPr>
        <w:tab/>
        <w:t>contrary to the Call-Off Contract terms, which requires an amendment to the Call-Off Contract terms in that country only to make the terms lawful.</w:t>
      </w:r>
    </w:p>
    <w:p w14:paraId="555C6EAE" w14:textId="77777777" w:rsidR="00FD43D1" w:rsidRDefault="008B7F26">
      <w:pPr>
        <w:pBdr>
          <w:top w:val="nil"/>
          <w:left w:val="nil"/>
          <w:bottom w:val="nil"/>
          <w:right w:val="nil"/>
          <w:between w:val="nil"/>
        </w:pBdr>
        <w:spacing w:after="120" w:line="240" w:lineRule="auto"/>
        <w:ind w:left="720" w:hanging="720"/>
        <w:rPr>
          <w:rFonts w:ascii="Arial" w:eastAsia="Arial" w:hAnsi="Arial" w:cs="Arial"/>
          <w:i/>
          <w:color w:val="000000"/>
          <w:highlight w:val="yellow"/>
        </w:rPr>
      </w:pPr>
      <w:r>
        <w:rPr>
          <w:rFonts w:ascii="Arial" w:eastAsia="Arial" w:hAnsi="Arial" w:cs="Arial"/>
          <w:i/>
          <w:color w:val="000000"/>
          <w:highlight w:val="yellow"/>
        </w:rPr>
        <w:t>Where required, this Annex 2 should be completed on a per country basis.</w:t>
      </w:r>
    </w:p>
    <w:p w14:paraId="555C6EAF" w14:textId="77777777" w:rsidR="00FD43D1" w:rsidRDefault="008B7F26">
      <w:pPr>
        <w:pBdr>
          <w:top w:val="nil"/>
          <w:left w:val="nil"/>
          <w:bottom w:val="nil"/>
          <w:right w:val="nil"/>
          <w:between w:val="nil"/>
        </w:pBdr>
        <w:spacing w:after="120" w:line="240" w:lineRule="auto"/>
        <w:rPr>
          <w:rFonts w:ascii="Arial" w:eastAsia="Arial" w:hAnsi="Arial" w:cs="Arial"/>
          <w:i/>
          <w:color w:val="000000"/>
          <w:highlight w:val="yellow"/>
        </w:rPr>
      </w:pPr>
      <w:r>
        <w:rPr>
          <w:rFonts w:ascii="Arial" w:eastAsia="Arial" w:hAnsi="Arial" w:cs="Arial"/>
          <w:i/>
          <w:color w:val="000000"/>
          <w:highlight w:val="yellow"/>
        </w:rPr>
        <w:t>Buyer to obtain its own legal advice as to in-country legal requirements and any proposed amendments.]</w:t>
      </w:r>
    </w:p>
    <w:p w14:paraId="555C6EB0" w14:textId="77777777" w:rsidR="00FD43D1" w:rsidRDefault="008B7F26">
      <w:pPr>
        <w:pBdr>
          <w:top w:val="nil"/>
          <w:left w:val="nil"/>
          <w:bottom w:val="nil"/>
          <w:right w:val="nil"/>
          <w:between w:val="nil"/>
        </w:pBdr>
        <w:spacing w:before="120" w:after="120" w:line="240" w:lineRule="auto"/>
        <w:ind w:left="720" w:hanging="720"/>
        <w:rPr>
          <w:rFonts w:ascii="Arial" w:eastAsia="Arial" w:hAnsi="Arial" w:cs="Arial"/>
          <w:b/>
          <w:smallCaps/>
          <w:color w:val="000000"/>
        </w:rPr>
      </w:pPr>
      <w:r>
        <w:rPr>
          <w:rFonts w:ascii="Arial" w:eastAsia="Arial" w:hAnsi="Arial" w:cs="Arial"/>
          <w:b/>
          <w:color w:val="000000"/>
        </w:rPr>
        <w:t xml:space="preserve">Call-Off Contract Reference Number: </w:t>
      </w:r>
      <w:r>
        <w:rPr>
          <w:rFonts w:ascii="Arial" w:eastAsia="Arial" w:hAnsi="Arial" w:cs="Arial"/>
          <w:smallCaps/>
          <w:color w:val="000000"/>
        </w:rPr>
        <w:t>[</w:t>
      </w:r>
      <w:r>
        <w:rPr>
          <w:rFonts w:ascii="Arial" w:eastAsia="Arial" w:hAnsi="Arial" w:cs="Arial"/>
          <w:i/>
          <w:smallCaps/>
          <w:color w:val="000000"/>
          <w:highlight w:val="yellow"/>
        </w:rPr>
        <w:t>INSERT</w:t>
      </w:r>
      <w:r>
        <w:rPr>
          <w:rFonts w:ascii="Arial" w:eastAsia="Arial" w:hAnsi="Arial" w:cs="Arial"/>
          <w:smallCaps/>
          <w:color w:val="000000"/>
        </w:rPr>
        <w:t>]</w:t>
      </w:r>
    </w:p>
    <w:p w14:paraId="555C6EB1" w14:textId="77777777" w:rsidR="00FD43D1" w:rsidRDefault="008B7F26">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Parties</w:t>
      </w:r>
    </w:p>
    <w:p w14:paraId="555C6EB2" w14:textId="77777777" w:rsidR="00FD43D1" w:rsidRDefault="008B7F26">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This Annex 2 is made between:</w:t>
      </w:r>
    </w:p>
    <w:p w14:paraId="555C6EB3" w14:textId="77777777" w:rsidR="00FD43D1" w:rsidRDefault="008B7F26">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w:t>
      </w:r>
      <w:r>
        <w:rPr>
          <w:rFonts w:ascii="Arial" w:eastAsia="Arial" w:hAnsi="Arial" w:cs="Arial"/>
          <w:i/>
          <w:color w:val="000000"/>
          <w:highlight w:val="yellow"/>
        </w:rPr>
        <w:t>INSERT BUYER’S DETAILS</w:t>
      </w:r>
      <w:r>
        <w:rPr>
          <w:rFonts w:ascii="Arial" w:eastAsia="Arial" w:hAnsi="Arial" w:cs="Arial"/>
          <w:color w:val="000000"/>
        </w:rPr>
        <w:t>] (the “</w:t>
      </w:r>
      <w:r>
        <w:rPr>
          <w:rFonts w:ascii="Arial" w:eastAsia="Arial" w:hAnsi="Arial" w:cs="Arial"/>
          <w:b/>
          <w:color w:val="000000"/>
        </w:rPr>
        <w:t>Buyer</w:t>
      </w:r>
      <w:r>
        <w:rPr>
          <w:rFonts w:ascii="Arial" w:eastAsia="Arial" w:hAnsi="Arial" w:cs="Arial"/>
          <w:color w:val="000000"/>
        </w:rPr>
        <w:t>”); and</w:t>
      </w:r>
    </w:p>
    <w:p w14:paraId="555C6EB4" w14:textId="77777777" w:rsidR="00FD43D1" w:rsidRDefault="008B7F26">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w:t>
      </w:r>
      <w:r>
        <w:rPr>
          <w:rFonts w:ascii="Arial" w:eastAsia="Arial" w:hAnsi="Arial" w:cs="Arial"/>
          <w:i/>
          <w:color w:val="000000"/>
          <w:highlight w:val="yellow"/>
        </w:rPr>
        <w:t>INSERT SUPPLIER’S DETAILS</w:t>
      </w:r>
      <w:r>
        <w:rPr>
          <w:rFonts w:ascii="Arial" w:eastAsia="Arial" w:hAnsi="Arial" w:cs="Arial"/>
          <w:color w:val="000000"/>
        </w:rPr>
        <w:t>] (the “</w:t>
      </w:r>
      <w:r>
        <w:rPr>
          <w:rFonts w:ascii="Arial" w:eastAsia="Arial" w:hAnsi="Arial" w:cs="Arial"/>
          <w:b/>
          <w:color w:val="000000"/>
        </w:rPr>
        <w:t>Supplier</w:t>
      </w:r>
      <w:r>
        <w:rPr>
          <w:rFonts w:ascii="Arial" w:eastAsia="Arial" w:hAnsi="Arial" w:cs="Arial"/>
          <w:color w:val="000000"/>
        </w:rPr>
        <w:t>”).</w:t>
      </w:r>
    </w:p>
    <w:p w14:paraId="555C6EB5" w14:textId="77777777" w:rsidR="00FD43D1" w:rsidRDefault="008B7F26">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Scope</w:t>
      </w:r>
    </w:p>
    <w:p w14:paraId="555C6EB6" w14:textId="77777777" w:rsidR="00FD43D1" w:rsidRDefault="008B7F26">
      <w:pPr>
        <w:pBdr>
          <w:top w:val="nil"/>
          <w:left w:val="nil"/>
          <w:bottom w:val="nil"/>
          <w:right w:val="nil"/>
          <w:between w:val="nil"/>
        </w:pBdr>
        <w:spacing w:before="120" w:after="0" w:line="240" w:lineRule="auto"/>
        <w:ind w:firstLine="720"/>
        <w:rPr>
          <w:rFonts w:ascii="Arial" w:eastAsia="Arial" w:hAnsi="Arial" w:cs="Arial"/>
          <w:color w:val="000000"/>
        </w:rPr>
      </w:pPr>
      <w:r>
        <w:rPr>
          <w:rFonts w:ascii="Arial" w:eastAsia="Arial" w:hAnsi="Arial" w:cs="Arial"/>
          <w:color w:val="000000"/>
        </w:rPr>
        <w:t>This Annex 2 shall:</w:t>
      </w:r>
    </w:p>
    <w:p w14:paraId="555C6EB7" w14:textId="77777777" w:rsidR="00FD43D1" w:rsidRDefault="008B7F26">
      <w:pPr>
        <w:numPr>
          <w:ilvl w:val="1"/>
          <w:numId w:val="2"/>
        </w:numPr>
        <w:pBdr>
          <w:top w:val="nil"/>
          <w:left w:val="nil"/>
          <w:bottom w:val="nil"/>
          <w:right w:val="nil"/>
          <w:between w:val="nil"/>
        </w:pBdr>
        <w:tabs>
          <w:tab w:val="left" w:pos="993"/>
        </w:tabs>
        <w:spacing w:before="120" w:after="0" w:line="240" w:lineRule="auto"/>
        <w:rPr>
          <w:rFonts w:ascii="Arial" w:eastAsia="Arial" w:hAnsi="Arial" w:cs="Arial"/>
          <w:color w:val="000000"/>
        </w:rPr>
      </w:pPr>
      <w:r>
        <w:rPr>
          <w:rFonts w:ascii="Arial" w:eastAsia="Arial" w:hAnsi="Arial" w:cs="Arial"/>
          <w:color w:val="000000"/>
        </w:rPr>
        <w:t xml:space="preserve">only applies in respect of Deliverables supplied by the Supplier in </w:t>
      </w:r>
      <w:r>
        <w:rPr>
          <w:rFonts w:ascii="Arial" w:eastAsia="Arial" w:hAnsi="Arial" w:cs="Arial"/>
          <w:color w:val="000000"/>
          <w:highlight w:val="yellow"/>
        </w:rPr>
        <w:t>[</w:t>
      </w:r>
      <w:r>
        <w:rPr>
          <w:rFonts w:ascii="Arial" w:eastAsia="Arial" w:hAnsi="Arial" w:cs="Arial"/>
          <w:b/>
          <w:i/>
          <w:color w:val="000000"/>
          <w:highlight w:val="yellow"/>
        </w:rPr>
        <w:t>insert country</w:t>
      </w:r>
      <w:r>
        <w:rPr>
          <w:rFonts w:ascii="Arial" w:eastAsia="Arial" w:hAnsi="Arial" w:cs="Arial"/>
          <w:color w:val="000000"/>
          <w:highlight w:val="yellow"/>
        </w:rPr>
        <w:t>]</w:t>
      </w:r>
      <w:r>
        <w:rPr>
          <w:rFonts w:ascii="Arial" w:eastAsia="Arial" w:hAnsi="Arial" w:cs="Arial"/>
          <w:color w:val="000000"/>
        </w:rPr>
        <w:t>; and</w:t>
      </w:r>
    </w:p>
    <w:p w14:paraId="555C6EB8" w14:textId="77777777" w:rsidR="00FD43D1" w:rsidRDefault="008B7F26">
      <w:pPr>
        <w:numPr>
          <w:ilvl w:val="1"/>
          <w:numId w:val="2"/>
        </w:numPr>
        <w:pBdr>
          <w:top w:val="nil"/>
          <w:left w:val="nil"/>
          <w:bottom w:val="nil"/>
          <w:right w:val="nil"/>
          <w:between w:val="nil"/>
        </w:pBdr>
        <w:tabs>
          <w:tab w:val="left" w:pos="993"/>
        </w:tabs>
        <w:spacing w:before="120" w:after="0" w:line="240" w:lineRule="auto"/>
        <w:rPr>
          <w:rFonts w:ascii="Arial" w:eastAsia="Arial" w:hAnsi="Arial" w:cs="Arial"/>
          <w:color w:val="000000"/>
        </w:rPr>
      </w:pPr>
      <w:r>
        <w:rPr>
          <w:rFonts w:ascii="Arial" w:eastAsia="Arial" w:hAnsi="Arial" w:cs="Arial"/>
          <w:color w:val="000000"/>
        </w:rPr>
        <w:t>be completed strictly in accordance with Paragraphs ‎6.8 to 6.13 of Call-Off Schedule 20 (</w:t>
      </w:r>
      <w:r>
        <w:rPr>
          <w:rFonts w:ascii="Arial" w:eastAsia="Arial" w:hAnsi="Arial" w:cs="Arial"/>
        </w:rPr>
        <w:t>Call-Off Specification</w:t>
      </w:r>
      <w:r>
        <w:rPr>
          <w:rFonts w:ascii="Arial" w:eastAsia="Arial" w:hAnsi="Arial" w:cs="Arial"/>
          <w:color w:val="000000"/>
        </w:rPr>
        <w:t>) of the Call-Off Contract.</w:t>
      </w:r>
    </w:p>
    <w:p w14:paraId="555C6EB9" w14:textId="77777777" w:rsidR="00FD43D1" w:rsidRDefault="008B7F26">
      <w:pPr>
        <w:keepNext/>
        <w:numPr>
          <w:ilvl w:val="0"/>
          <w:numId w:val="2"/>
        </w:numPr>
        <w:pBdr>
          <w:top w:val="nil"/>
          <w:left w:val="nil"/>
          <w:bottom w:val="nil"/>
          <w:right w:val="nil"/>
          <w:between w:val="nil"/>
        </w:pBdr>
        <w:spacing w:before="240" w:after="120" w:line="240" w:lineRule="auto"/>
        <w:rPr>
          <w:rFonts w:ascii="Arial" w:eastAsia="Arial" w:hAnsi="Arial" w:cs="Arial"/>
          <w:b/>
          <w:color w:val="000000"/>
        </w:rPr>
      </w:pPr>
      <w:r>
        <w:rPr>
          <w:rFonts w:ascii="Arial" w:eastAsia="Arial" w:hAnsi="Arial" w:cs="Arial"/>
          <w:b/>
          <w:color w:val="000000"/>
        </w:rPr>
        <w:t>Local Amendments</w:t>
      </w:r>
    </w:p>
    <w:p w14:paraId="555C6EBA" w14:textId="77777777" w:rsidR="00FD43D1" w:rsidRDefault="008B7F26">
      <w:pPr>
        <w:pBdr>
          <w:top w:val="nil"/>
          <w:left w:val="nil"/>
          <w:bottom w:val="nil"/>
          <w:right w:val="nil"/>
          <w:between w:val="nil"/>
        </w:pBdr>
        <w:spacing w:after="0" w:line="240" w:lineRule="auto"/>
        <w:ind w:left="720"/>
        <w:jc w:val="both"/>
        <w:rPr>
          <w:rFonts w:ascii="Arial" w:eastAsia="Arial" w:hAnsi="Arial" w:cs="Arial"/>
          <w:color w:val="000000"/>
        </w:rPr>
      </w:pPr>
      <w:r>
        <w:rPr>
          <w:rFonts w:ascii="Arial" w:eastAsia="Arial" w:hAnsi="Arial" w:cs="Arial"/>
          <w:color w:val="000000"/>
        </w:rPr>
        <w:t>The Parties have agreed that, in accordance with the provisions of Paragraphs ‎6.8 to 6.13 of Call-Off Schedule 20 (Call-Off Specification) of the Call-Off Contract, the following amendments will be made to the Call-Off Contract:</w:t>
      </w:r>
    </w:p>
    <w:p w14:paraId="555C6EBB" w14:textId="77777777" w:rsidR="00FD43D1" w:rsidRDefault="008B7F26">
      <w:pPr>
        <w:pBdr>
          <w:top w:val="nil"/>
          <w:left w:val="nil"/>
          <w:bottom w:val="nil"/>
          <w:right w:val="nil"/>
          <w:between w:val="nil"/>
        </w:pBdr>
        <w:tabs>
          <w:tab w:val="left" w:pos="993"/>
        </w:tabs>
        <w:spacing w:before="120" w:after="120" w:line="240" w:lineRule="auto"/>
        <w:ind w:left="720" w:hanging="720"/>
        <w:rPr>
          <w:rFonts w:ascii="Arial" w:eastAsia="Arial" w:hAnsi="Arial" w:cs="Arial"/>
          <w:color w:val="000000"/>
          <w:highlight w:val="yellow"/>
        </w:rPr>
      </w:pPr>
      <w:r>
        <w:rPr>
          <w:rFonts w:ascii="Arial" w:eastAsia="Arial" w:hAnsi="Arial" w:cs="Arial"/>
          <w:color w:val="000000"/>
        </w:rPr>
        <w:tab/>
      </w:r>
      <w:r>
        <w:rPr>
          <w:rFonts w:ascii="Arial" w:eastAsia="Arial" w:hAnsi="Arial" w:cs="Arial"/>
          <w:color w:val="000000"/>
          <w:highlight w:val="yellow"/>
        </w:rPr>
        <w:t>[Supplier to complete with mandatory legal requirements only:</w:t>
      </w:r>
    </w:p>
    <w:p w14:paraId="555C6EBC" w14:textId="77777777" w:rsidR="00FD43D1" w:rsidRDefault="008B7F26">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local law amendments</w:t>
      </w:r>
      <w:r>
        <w:rPr>
          <w:rFonts w:ascii="Arial" w:eastAsia="Arial" w:hAnsi="Arial" w:cs="Arial"/>
          <w:color w:val="000000"/>
        </w:rPr>
        <w:t>;]</w:t>
      </w:r>
    </w:p>
    <w:p w14:paraId="555C6EBD" w14:textId="77777777" w:rsidR="00FD43D1" w:rsidRDefault="008B7F26">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local law amendments</w:t>
      </w:r>
      <w:r>
        <w:rPr>
          <w:rFonts w:ascii="Arial" w:eastAsia="Arial" w:hAnsi="Arial" w:cs="Arial"/>
          <w:color w:val="000000"/>
        </w:rPr>
        <w:t>;]</w:t>
      </w:r>
    </w:p>
    <w:p w14:paraId="555C6EBE" w14:textId="77777777" w:rsidR="00FD43D1" w:rsidRDefault="008B7F26">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consequential amendments, e.g. changes to the scope and/or cost of supplying the Deliverables</w:t>
      </w:r>
      <w:r>
        <w:rPr>
          <w:rFonts w:ascii="Arial" w:eastAsia="Arial" w:hAnsi="Arial" w:cs="Arial"/>
          <w:color w:val="000000"/>
        </w:rPr>
        <w:t>].</w:t>
      </w:r>
    </w:p>
    <w:p w14:paraId="555C6EBF" w14:textId="77777777" w:rsidR="00FD43D1" w:rsidRDefault="008B7F26">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Execution</w:t>
      </w:r>
    </w:p>
    <w:p w14:paraId="555C6EC0" w14:textId="77777777" w:rsidR="00FD43D1" w:rsidRDefault="008B7F26">
      <w:pPr>
        <w:pBdr>
          <w:top w:val="nil"/>
          <w:left w:val="nil"/>
          <w:bottom w:val="nil"/>
          <w:right w:val="nil"/>
          <w:between w:val="nil"/>
        </w:pBdr>
        <w:tabs>
          <w:tab w:val="left" w:pos="993"/>
        </w:tabs>
        <w:spacing w:before="120" w:after="120" w:line="240" w:lineRule="auto"/>
        <w:ind w:left="720" w:hanging="720"/>
        <w:rPr>
          <w:rFonts w:ascii="Arial" w:eastAsia="Arial" w:hAnsi="Arial" w:cs="Arial"/>
          <w:color w:val="000000"/>
        </w:rPr>
      </w:pPr>
      <w:r>
        <w:rPr>
          <w:rFonts w:ascii="Arial" w:eastAsia="Arial" w:hAnsi="Arial" w:cs="Arial"/>
          <w:color w:val="000000"/>
        </w:rPr>
        <w:tab/>
        <w:t>Signed by the duly authorised representatives of the Parties:</w:t>
      </w:r>
    </w:p>
    <w:tbl>
      <w:tblPr>
        <w:tblStyle w:val="a0"/>
        <w:tblW w:w="8930" w:type="dxa"/>
        <w:tblInd w:w="709" w:type="dxa"/>
        <w:tblLayout w:type="fixed"/>
        <w:tblLook w:val="0000" w:firstRow="0" w:lastRow="0" w:firstColumn="0" w:lastColumn="0" w:noHBand="0" w:noVBand="0"/>
      </w:tblPr>
      <w:tblGrid>
        <w:gridCol w:w="4678"/>
        <w:gridCol w:w="4252"/>
      </w:tblGrid>
      <w:tr w:rsidR="00FD43D1" w14:paraId="555C6EC9" w14:textId="77777777">
        <w:tc>
          <w:tcPr>
            <w:tcW w:w="4678" w:type="dxa"/>
          </w:tcPr>
          <w:p w14:paraId="555C6EC1"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For and on behalf of the Supplier:</w:t>
            </w:r>
          </w:p>
          <w:p w14:paraId="555C6EC2"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Signed:</w:t>
            </w:r>
          </w:p>
          <w:p w14:paraId="555C6EC3"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Print Name:</w:t>
            </w:r>
          </w:p>
          <w:p w14:paraId="555C6EC4"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Date:</w:t>
            </w:r>
          </w:p>
        </w:tc>
        <w:tc>
          <w:tcPr>
            <w:tcW w:w="4252" w:type="dxa"/>
          </w:tcPr>
          <w:p w14:paraId="555C6EC5"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For and on behalf of the Buyer:</w:t>
            </w:r>
          </w:p>
          <w:p w14:paraId="555C6EC6"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Signed:</w:t>
            </w:r>
          </w:p>
          <w:p w14:paraId="555C6EC7"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Print Name:</w:t>
            </w:r>
          </w:p>
          <w:p w14:paraId="555C6EC8" w14:textId="77777777" w:rsidR="00FD43D1" w:rsidRDefault="008B7F26">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Date:</w:t>
            </w:r>
          </w:p>
        </w:tc>
      </w:tr>
    </w:tbl>
    <w:p w14:paraId="555C6ECA" w14:textId="77777777" w:rsidR="00FD43D1" w:rsidRDefault="00FD43D1">
      <w:pPr>
        <w:spacing w:before="120" w:after="120" w:line="240" w:lineRule="auto"/>
        <w:jc w:val="both"/>
        <w:rPr>
          <w:rFonts w:ascii="Arial" w:eastAsia="Arial" w:hAnsi="Arial" w:cs="Arial"/>
        </w:rPr>
      </w:pPr>
    </w:p>
    <w:sectPr w:rsidR="00FD43D1">
      <w:pgSz w:w="11906" w:h="16838"/>
      <w:pgMar w:top="1440" w:right="1440" w:bottom="1440" w:left="15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6BB8E" w14:textId="77777777" w:rsidR="0012498F" w:rsidRDefault="0012498F">
      <w:pPr>
        <w:spacing w:after="0" w:line="240" w:lineRule="auto"/>
      </w:pPr>
      <w:r>
        <w:separator/>
      </w:r>
    </w:p>
  </w:endnote>
  <w:endnote w:type="continuationSeparator" w:id="0">
    <w:p w14:paraId="753120F4" w14:textId="77777777" w:rsidR="0012498F" w:rsidRDefault="0012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C6ED0" w14:textId="77777777" w:rsidR="00FD43D1" w:rsidRDefault="008B7F26">
    <w:pPr>
      <w:tabs>
        <w:tab w:val="right" w:pos="8647"/>
      </w:tabs>
      <w:spacing w:after="0"/>
      <w:rPr>
        <w:rFonts w:ascii="Arial" w:eastAsia="Arial" w:hAnsi="Arial" w:cs="Arial"/>
        <w:sz w:val="16"/>
        <w:szCs w:val="16"/>
      </w:rPr>
    </w:pPr>
    <w:r>
      <w:rPr>
        <w:rFonts w:ascii="Arial" w:eastAsia="Arial" w:hAnsi="Arial" w:cs="Arial"/>
        <w:sz w:val="16"/>
        <w:szCs w:val="16"/>
      </w:rPr>
      <w:t>Travel &amp; Venue Solutions RM6217</w:t>
    </w:r>
  </w:p>
  <w:p w14:paraId="555C6ED1" w14:textId="77777777" w:rsidR="00FD43D1" w:rsidRDefault="008B7F26">
    <w:pPr>
      <w:tabs>
        <w:tab w:val="right" w:pos="8647"/>
      </w:tabs>
      <w:spacing w:after="0"/>
      <w:rPr>
        <w:rFonts w:ascii="Arial" w:eastAsia="Arial" w:hAnsi="Arial" w:cs="Arial"/>
        <w:sz w:val="16"/>
        <w:szCs w:val="16"/>
      </w:rPr>
    </w:pPr>
    <w:r>
      <w:rPr>
        <w:rFonts w:ascii="Arial" w:eastAsia="Arial" w:hAnsi="Arial" w:cs="Arial"/>
        <w:sz w:val="16"/>
        <w:szCs w:val="16"/>
      </w:rPr>
      <w:t>Framework Schedule 1 (Specification)</w:t>
    </w:r>
  </w:p>
  <w:p w14:paraId="555C6ED2" w14:textId="77777777" w:rsidR="00FD43D1" w:rsidRDefault="008B7F26">
    <w:pPr>
      <w:tabs>
        <w:tab w:val="right" w:pos="8647"/>
      </w:tabs>
      <w:spacing w:after="0"/>
      <w:rPr>
        <w:rFonts w:ascii="Arial" w:eastAsia="Arial" w:hAnsi="Arial" w:cs="Arial"/>
        <w:sz w:val="16"/>
        <w:szCs w:val="16"/>
      </w:rPr>
    </w:pPr>
    <w:r>
      <w:rPr>
        <w:rFonts w:ascii="Arial" w:eastAsia="Arial" w:hAnsi="Arial" w:cs="Arial"/>
        <w:sz w:val="16"/>
        <w:szCs w:val="16"/>
      </w:rPr>
      <w:t>© Crown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927AF" w14:textId="77777777" w:rsidR="0012498F" w:rsidRDefault="0012498F">
      <w:pPr>
        <w:spacing w:after="0" w:line="240" w:lineRule="auto"/>
      </w:pPr>
      <w:r>
        <w:separator/>
      </w:r>
    </w:p>
  </w:footnote>
  <w:footnote w:type="continuationSeparator" w:id="0">
    <w:p w14:paraId="2D683F5B" w14:textId="77777777" w:rsidR="0012498F" w:rsidRDefault="00124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C6ECF" w14:textId="77777777" w:rsidR="00FD43D1" w:rsidRDefault="00FD43D1">
    <w:pPr>
      <w:tabs>
        <w:tab w:val="center" w:pos="4513"/>
        <w:tab w:val="right" w:pos="9026"/>
      </w:tabs>
      <w:spacing w:before="200" w:after="0" w:line="240" w:lineRule="auto"/>
      <w:ind w:left="792"/>
      <w:jc w:val="both"/>
      <w:rPr>
        <w:rFonts w:ascii="Arial" w:eastAsia="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C6ED3" w14:textId="77777777" w:rsidR="00FD43D1" w:rsidRDefault="008B7F26">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g">
          <w:drawing>
            <wp:anchor distT="0" distB="0" distL="0" distR="0" simplePos="0" relativeHeight="251658240" behindDoc="0" locked="0" layoutInCell="1" hidden="0" allowOverlap="1" wp14:anchorId="555C6ED4" wp14:editId="555C6ED5">
              <wp:simplePos x="0" y="0"/>
              <wp:positionH relativeFrom="column">
                <wp:posOffset>-2832099</wp:posOffset>
              </wp:positionH>
              <wp:positionV relativeFrom="paragraph">
                <wp:posOffset>-4051299</wp:posOffset>
              </wp:positionV>
              <wp:extent cx="11335070" cy="11335070"/>
              <wp:effectExtent l="0" t="0" r="0" b="0"/>
              <wp:wrapSquare wrapText="bothSides" distT="0" distB="0" distL="0" distR="0"/>
              <wp:docPr id="3" name="Rectangle 3"/>
              <wp:cNvGraphicFramePr/>
              <a:graphic xmlns:a="http://schemas.openxmlformats.org/drawingml/2006/main">
                <a:graphicData uri="http://schemas.microsoft.com/office/word/2010/wordprocessingShape">
                  <wps:wsp>
                    <wps:cNvSpPr/>
                    <wps:spPr>
                      <a:xfrm rot="-2700000">
                        <a:off x="2953955" y="2185515"/>
                        <a:ext cx="4784090" cy="3188970"/>
                      </a:xfrm>
                      <a:prstGeom prst="rect">
                        <a:avLst/>
                      </a:prstGeom>
                      <a:noFill/>
                      <a:ln>
                        <a:noFill/>
                      </a:ln>
                    </wps:spPr>
                    <wps:txbx>
                      <w:txbxContent>
                        <w:p w14:paraId="555C6ED6" w14:textId="77777777" w:rsidR="00FD43D1" w:rsidRDefault="008B7F26">
                          <w:pPr>
                            <w:spacing w:after="0" w:line="240" w:lineRule="auto"/>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335070" cy="1133507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109C2"/>
    <w:multiLevelType w:val="multilevel"/>
    <w:tmpl w:val="193A3F08"/>
    <w:lvl w:ilvl="0">
      <w:start w:val="1"/>
      <w:numFmt w:val="bullet"/>
      <w:lvlText w:val="●"/>
      <w:lvlJc w:val="left"/>
      <w:pPr>
        <w:ind w:left="2987" w:hanging="360"/>
      </w:pPr>
      <w:rPr>
        <w:rFonts w:ascii="Noto Sans Symbols" w:eastAsia="Noto Sans Symbols" w:hAnsi="Noto Sans Symbols" w:cs="Noto Sans Symbols"/>
      </w:rPr>
    </w:lvl>
    <w:lvl w:ilvl="1">
      <w:start w:val="1"/>
      <w:numFmt w:val="bullet"/>
      <w:lvlText w:val="o"/>
      <w:lvlJc w:val="left"/>
      <w:pPr>
        <w:ind w:left="3707" w:hanging="360"/>
      </w:pPr>
      <w:rPr>
        <w:rFonts w:ascii="Courier New" w:eastAsia="Courier New" w:hAnsi="Courier New" w:cs="Courier New"/>
      </w:rPr>
    </w:lvl>
    <w:lvl w:ilvl="2">
      <w:start w:val="1"/>
      <w:numFmt w:val="bullet"/>
      <w:lvlText w:val="▪"/>
      <w:lvlJc w:val="left"/>
      <w:pPr>
        <w:ind w:left="4427" w:hanging="360"/>
      </w:pPr>
      <w:rPr>
        <w:rFonts w:ascii="Noto Sans Symbols" w:eastAsia="Noto Sans Symbols" w:hAnsi="Noto Sans Symbols" w:cs="Noto Sans Symbols"/>
      </w:rPr>
    </w:lvl>
    <w:lvl w:ilvl="3">
      <w:start w:val="1"/>
      <w:numFmt w:val="bullet"/>
      <w:lvlText w:val="●"/>
      <w:lvlJc w:val="left"/>
      <w:pPr>
        <w:ind w:left="5147" w:hanging="360"/>
      </w:pPr>
      <w:rPr>
        <w:rFonts w:ascii="Noto Sans Symbols" w:eastAsia="Noto Sans Symbols" w:hAnsi="Noto Sans Symbols" w:cs="Noto Sans Symbols"/>
      </w:rPr>
    </w:lvl>
    <w:lvl w:ilvl="4">
      <w:start w:val="1"/>
      <w:numFmt w:val="bullet"/>
      <w:lvlText w:val="o"/>
      <w:lvlJc w:val="left"/>
      <w:pPr>
        <w:ind w:left="5867" w:hanging="360"/>
      </w:pPr>
      <w:rPr>
        <w:rFonts w:ascii="Courier New" w:eastAsia="Courier New" w:hAnsi="Courier New" w:cs="Courier New"/>
      </w:rPr>
    </w:lvl>
    <w:lvl w:ilvl="5">
      <w:start w:val="1"/>
      <w:numFmt w:val="bullet"/>
      <w:lvlText w:val="▪"/>
      <w:lvlJc w:val="left"/>
      <w:pPr>
        <w:ind w:left="6587" w:hanging="360"/>
      </w:pPr>
      <w:rPr>
        <w:rFonts w:ascii="Noto Sans Symbols" w:eastAsia="Noto Sans Symbols" w:hAnsi="Noto Sans Symbols" w:cs="Noto Sans Symbols"/>
      </w:rPr>
    </w:lvl>
    <w:lvl w:ilvl="6">
      <w:start w:val="1"/>
      <w:numFmt w:val="bullet"/>
      <w:lvlText w:val="●"/>
      <w:lvlJc w:val="left"/>
      <w:pPr>
        <w:ind w:left="7307" w:hanging="360"/>
      </w:pPr>
      <w:rPr>
        <w:rFonts w:ascii="Noto Sans Symbols" w:eastAsia="Noto Sans Symbols" w:hAnsi="Noto Sans Symbols" w:cs="Noto Sans Symbols"/>
      </w:rPr>
    </w:lvl>
    <w:lvl w:ilvl="7">
      <w:start w:val="1"/>
      <w:numFmt w:val="bullet"/>
      <w:lvlText w:val="o"/>
      <w:lvlJc w:val="left"/>
      <w:pPr>
        <w:ind w:left="8027" w:hanging="360"/>
      </w:pPr>
      <w:rPr>
        <w:rFonts w:ascii="Courier New" w:eastAsia="Courier New" w:hAnsi="Courier New" w:cs="Courier New"/>
      </w:rPr>
    </w:lvl>
    <w:lvl w:ilvl="8">
      <w:start w:val="1"/>
      <w:numFmt w:val="bullet"/>
      <w:lvlText w:val="▪"/>
      <w:lvlJc w:val="left"/>
      <w:pPr>
        <w:ind w:left="8747" w:hanging="360"/>
      </w:pPr>
      <w:rPr>
        <w:rFonts w:ascii="Noto Sans Symbols" w:eastAsia="Noto Sans Symbols" w:hAnsi="Noto Sans Symbols" w:cs="Noto Sans Symbols"/>
      </w:rPr>
    </w:lvl>
  </w:abstractNum>
  <w:abstractNum w:abstractNumId="1" w15:restartNumberingAfterBreak="0">
    <w:nsid w:val="050C3B68"/>
    <w:multiLevelType w:val="multilevel"/>
    <w:tmpl w:val="93665A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624A5F"/>
    <w:multiLevelType w:val="multilevel"/>
    <w:tmpl w:val="BA6C5280"/>
    <w:lvl w:ilvl="0">
      <w:start w:val="1"/>
      <w:numFmt w:val="lowerLetter"/>
      <w:pStyle w:val="Background"/>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EB313CC"/>
    <w:multiLevelType w:val="multilevel"/>
    <w:tmpl w:val="58C0327C"/>
    <w:lvl w:ilvl="0">
      <w:start w:val="1"/>
      <w:numFmt w:val="decimal"/>
      <w:pStyle w:val="ScheduleL1"/>
      <w:lvlText w:val="%1."/>
      <w:lvlJc w:val="left"/>
      <w:pPr>
        <w:ind w:left="3904" w:hanging="360"/>
      </w:pPr>
      <w:rPr>
        <w:rFonts w:ascii="Arial" w:eastAsia="Arial" w:hAnsi="Arial" w:cs="Arial"/>
        <w:b/>
        <w:color w:val="000000"/>
      </w:rPr>
    </w:lvl>
    <w:lvl w:ilvl="1">
      <w:start w:val="1"/>
      <w:numFmt w:val="decimal"/>
      <w:pStyle w:val="ScheduleL2"/>
      <w:lvlText w:val="%1.%2."/>
      <w:lvlJc w:val="left"/>
      <w:pPr>
        <w:ind w:left="792" w:hanging="366"/>
      </w:pPr>
      <w:rPr>
        <w:rFonts w:ascii="Arial" w:eastAsia="Arial" w:hAnsi="Arial" w:cs="Arial"/>
        <w:b w:val="0"/>
        <w:sz w:val="22"/>
        <w:szCs w:val="22"/>
        <w:u w:val="none"/>
      </w:rPr>
    </w:lvl>
    <w:lvl w:ilvl="2">
      <w:start w:val="1"/>
      <w:numFmt w:val="decimal"/>
      <w:pStyle w:val="ScheduleL3"/>
      <w:lvlText w:val="%1.%2.%3."/>
      <w:lvlJc w:val="left"/>
      <w:pPr>
        <w:ind w:left="1700" w:hanging="435"/>
      </w:pPr>
      <w:rPr>
        <w:rFonts w:ascii="Arial" w:eastAsia="Arial" w:hAnsi="Arial" w:cs="Arial"/>
        <w:b w:val="0"/>
      </w:rPr>
    </w:lvl>
    <w:lvl w:ilvl="3">
      <w:start w:val="1"/>
      <w:numFmt w:val="bullet"/>
      <w:pStyle w:val="ScheduleL4"/>
      <w:lvlText w:val="●"/>
      <w:lvlJc w:val="left"/>
      <w:pPr>
        <w:ind w:left="1728" w:hanging="647"/>
      </w:pPr>
      <w:rPr>
        <w:rFonts w:ascii="Noto Sans Symbols" w:eastAsia="Noto Sans Symbols" w:hAnsi="Noto Sans Symbols" w:cs="Noto Sans Symbols"/>
      </w:rPr>
    </w:lvl>
    <w:lvl w:ilvl="4">
      <w:start w:val="1"/>
      <w:numFmt w:val="decimal"/>
      <w:pStyle w:val="ScheduleL5"/>
      <w:lvlText w:val="%1.%2.%3.●.%5."/>
      <w:lvlJc w:val="left"/>
      <w:pPr>
        <w:ind w:left="2232" w:hanging="792"/>
      </w:pPr>
    </w:lvl>
    <w:lvl w:ilvl="5">
      <w:start w:val="1"/>
      <w:numFmt w:val="decimal"/>
      <w:pStyle w:val="ScheduleL6"/>
      <w:lvlText w:val="%1.%2.%3.●.%5.%6."/>
      <w:lvlJc w:val="left"/>
      <w:pPr>
        <w:ind w:left="2736" w:hanging="933"/>
      </w:pPr>
    </w:lvl>
    <w:lvl w:ilvl="6">
      <w:start w:val="1"/>
      <w:numFmt w:val="decimal"/>
      <w:pStyle w:val="ScheduleL7"/>
      <w:lvlText w:val="%1.%2.%3.●.%5.%6.%7."/>
      <w:lvlJc w:val="left"/>
      <w:pPr>
        <w:ind w:left="3240" w:hanging="1080"/>
      </w:pPr>
    </w:lvl>
    <w:lvl w:ilvl="7">
      <w:start w:val="1"/>
      <w:numFmt w:val="decimal"/>
      <w:pStyle w:val="ScheduleL8"/>
      <w:lvlText w:val="%1.%2.%3.●.%5.%6.%7.%8."/>
      <w:lvlJc w:val="left"/>
      <w:pPr>
        <w:ind w:left="3744" w:hanging="1224"/>
      </w:pPr>
    </w:lvl>
    <w:lvl w:ilvl="8">
      <w:start w:val="1"/>
      <w:numFmt w:val="decimal"/>
      <w:pStyle w:val="ScheduleL9"/>
      <w:lvlText w:val="%1.%2.%3.●.%5.%6.%7.%8.%9."/>
      <w:lvlJc w:val="left"/>
      <w:pPr>
        <w:ind w:left="4320" w:hanging="1440"/>
      </w:pPr>
    </w:lvl>
  </w:abstractNum>
  <w:abstractNum w:abstractNumId="4" w15:restartNumberingAfterBreak="0">
    <w:nsid w:val="42991B96"/>
    <w:multiLevelType w:val="multilevel"/>
    <w:tmpl w:val="E0B6662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sz w:val="22"/>
        <w:szCs w:val="22"/>
      </w:rPr>
    </w:lvl>
    <w:lvl w:ilvl="2">
      <w:start w:val="1"/>
      <w:numFmt w:val="decimal"/>
      <w:lvlText w:val="%1.%2.%3"/>
      <w:lvlJc w:val="left"/>
      <w:pPr>
        <w:ind w:left="1814" w:hanging="1094"/>
      </w:pPr>
      <w:rPr>
        <w:rFonts w:ascii="Arial" w:eastAsia="Arial" w:hAnsi="Arial" w:cs="Arial"/>
        <w:b w:val="0"/>
        <w:smallCaps w:val="0"/>
        <w:sz w:val="24"/>
        <w:szCs w:val="24"/>
      </w:rPr>
    </w:lvl>
    <w:lvl w:ilvl="3">
      <w:start w:val="1"/>
      <w:numFmt w:val="lowerLetter"/>
      <w:lvlText w:val="(%4)"/>
      <w:lvlJc w:val="left"/>
      <w:pPr>
        <w:ind w:left="2552" w:hanging="738"/>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6CB11188"/>
    <w:multiLevelType w:val="multilevel"/>
    <w:tmpl w:val="78C6C9E8"/>
    <w:lvl w:ilvl="0">
      <w:start w:val="1"/>
      <w:numFmt w:val="decimal"/>
      <w:pStyle w:val="abcdDefinition"/>
      <w:lvlText w:val="%1."/>
      <w:lvlJc w:val="left"/>
      <w:pPr>
        <w:ind w:left="3904" w:hanging="360"/>
      </w:pPr>
      <w:rPr>
        <w:rFonts w:ascii="Arial" w:eastAsia="Arial" w:hAnsi="Arial" w:cs="Arial"/>
        <w:b/>
        <w:color w:val="000000"/>
      </w:rPr>
    </w:lvl>
    <w:lvl w:ilvl="1">
      <w:start w:val="1"/>
      <w:numFmt w:val="decimal"/>
      <w:lvlText w:val="%1.%2."/>
      <w:lvlJc w:val="left"/>
      <w:pPr>
        <w:ind w:left="792" w:hanging="366"/>
      </w:pPr>
      <w:rPr>
        <w:rFonts w:ascii="Arial" w:eastAsia="Arial" w:hAnsi="Arial" w:cs="Arial"/>
        <w:b w:val="0"/>
        <w:sz w:val="22"/>
        <w:szCs w:val="22"/>
        <w:u w:val="none"/>
      </w:rPr>
    </w:lvl>
    <w:lvl w:ilvl="2">
      <w:start w:val="1"/>
      <w:numFmt w:val="decimal"/>
      <w:lvlText w:val="%1.%2.%3."/>
      <w:lvlJc w:val="left"/>
      <w:pPr>
        <w:ind w:left="1700" w:hanging="435"/>
      </w:pPr>
      <w:rPr>
        <w:rFonts w:ascii="Arial" w:eastAsia="Arial" w:hAnsi="Arial" w:cs="Arial"/>
        <w:b w:val="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3D1"/>
    <w:rsid w:val="0012498F"/>
    <w:rsid w:val="00580D68"/>
    <w:rsid w:val="00794887"/>
    <w:rsid w:val="008B7F26"/>
    <w:rsid w:val="008F38F8"/>
    <w:rsid w:val="00FD4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C6B2A"/>
  <w15:docId w15:val="{41FBA604-DFE9-4CEB-84F5-2385598C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E87"/>
  </w:style>
  <w:style w:type="paragraph" w:styleId="Heading1">
    <w:name w:val="heading 1"/>
    <w:basedOn w:val="Normal"/>
    <w:next w:val="Normal"/>
    <w:uiPriority w:val="9"/>
    <w:qFormat/>
    <w:pPr>
      <w:keepNext/>
      <w:keepLines/>
      <w:pBdr>
        <w:top w:val="single" w:sz="4" w:space="1" w:color="000000"/>
        <w:left w:val="single" w:sz="4" w:space="4" w:color="000000"/>
        <w:bottom w:val="single" w:sz="4" w:space="1" w:color="000000"/>
        <w:right w:val="single" w:sz="4" w:space="4" w:color="000000"/>
      </w:pBdr>
      <w:shd w:val="clear" w:color="auto" w:fill="BDD7EE"/>
      <w:tabs>
        <w:tab w:val="left" w:pos="851"/>
      </w:tabs>
      <w:spacing w:before="120" w:after="120" w:line="240" w:lineRule="auto"/>
      <w:ind w:left="3904" w:hanging="360"/>
      <w:jc w:val="both"/>
      <w:outlineLvl w:val="0"/>
    </w:pPr>
    <w:rPr>
      <w:rFonts w:ascii="Arial" w:eastAsia="Arial" w:hAnsi="Arial" w:cs="Arial"/>
      <w:b/>
      <w:smallCaps/>
      <w:color w:val="000000"/>
    </w:rPr>
  </w:style>
  <w:style w:type="paragraph" w:styleId="Heading2">
    <w:name w:val="heading 2"/>
    <w:basedOn w:val="Normal"/>
    <w:next w:val="Normal"/>
    <w:uiPriority w:val="9"/>
    <w:unhideWhenUsed/>
    <w:qFormat/>
    <w:pPr>
      <w:keepNext/>
      <w:keepLines/>
      <w:tabs>
        <w:tab w:val="left" w:pos="851"/>
      </w:tabs>
      <w:spacing w:after="120" w:line="240" w:lineRule="auto"/>
      <w:ind w:left="718" w:hanging="576"/>
      <w:jc w:val="both"/>
      <w:outlineLvl w:val="1"/>
    </w:pPr>
    <w:rPr>
      <w:rFonts w:ascii="Arial" w:eastAsia="Arial" w:hAnsi="Arial" w:cs="Arial"/>
      <w:sz w:val="20"/>
      <w:szCs w:val="20"/>
    </w:rPr>
  </w:style>
  <w:style w:type="paragraph" w:styleId="Heading3">
    <w:name w:val="heading 3"/>
    <w:basedOn w:val="Normal"/>
    <w:next w:val="Normal"/>
    <w:uiPriority w:val="9"/>
    <w:semiHidden/>
    <w:unhideWhenUsed/>
    <w:qFormat/>
    <w:pPr>
      <w:keepNext/>
      <w:keepLines/>
      <w:tabs>
        <w:tab w:val="left" w:pos="1418"/>
      </w:tabs>
      <w:spacing w:after="120" w:line="240" w:lineRule="auto"/>
      <w:jc w:val="both"/>
      <w:outlineLvl w:val="2"/>
    </w:pPr>
    <w:rPr>
      <w:rFonts w:ascii="Arial" w:eastAsia="Arial" w:hAnsi="Arial" w:cs="Arial"/>
      <w:sz w:val="20"/>
      <w:szCs w:val="20"/>
    </w:rPr>
  </w:style>
  <w:style w:type="paragraph" w:styleId="Heading4">
    <w:name w:val="heading 4"/>
    <w:basedOn w:val="Normal"/>
    <w:next w:val="Normal"/>
    <w:uiPriority w:val="9"/>
    <w:semiHidden/>
    <w:unhideWhenUsed/>
    <w:qFormat/>
    <w:pPr>
      <w:keepNext/>
      <w:keepLines/>
      <w:spacing w:after="120" w:line="240" w:lineRule="auto"/>
      <w:jc w:val="both"/>
      <w:outlineLvl w:val="3"/>
    </w:pPr>
    <w:rPr>
      <w:rFonts w:ascii="Arial" w:eastAsia="Arial" w:hAnsi="Arial" w:cs="Arial"/>
      <w:sz w:val="20"/>
      <w:szCs w:val="20"/>
    </w:r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0"/>
      <w:sz w:val="20"/>
      <w:szCs w:val="20"/>
    </w:rPr>
  </w:style>
  <w:style w:type="paragraph" w:styleId="Heading6">
    <w:name w:val="heading 6"/>
    <w:basedOn w:val="Normal"/>
    <w:next w:val="Normal"/>
    <w:uiPriority w:val="9"/>
    <w:semiHidden/>
    <w:unhideWhenUsed/>
    <w:qFormat/>
    <w:pPr>
      <w:widowControl w:val="0"/>
      <w:spacing w:after="240" w:line="360" w:lineRule="auto"/>
      <w:ind w:left="1152" w:hanging="1152"/>
      <w:jc w:val="both"/>
      <w:outlineLvl w:val="5"/>
    </w:pPr>
    <w:rPr>
      <w:rFonts w:ascii="Arial" w:eastAsia="Arial" w:hAnsi="Arial" w:cs="Arial"/>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D25A7"/>
    <w:pPr>
      <w:ind w:left="720"/>
      <w:contextualSpacing/>
    </w:pPr>
  </w:style>
  <w:style w:type="paragraph" w:customStyle="1" w:styleId="Background">
    <w:name w:val="Background"/>
    <w:basedOn w:val="Normal"/>
    <w:qFormat/>
    <w:rsid w:val="00664F4C"/>
    <w:pPr>
      <w:numPr>
        <w:numId w:val="1"/>
      </w:numPr>
      <w:spacing w:after="240" w:line="240" w:lineRule="auto"/>
    </w:pPr>
    <w:rPr>
      <w:rFonts w:ascii="Arial" w:eastAsia="Arial" w:hAnsi="Arial" w:cs="Arial"/>
      <w:sz w:val="24"/>
      <w:szCs w:val="24"/>
      <w:lang w:val="en-US" w:eastAsia="zh-CN"/>
    </w:rPr>
  </w:style>
  <w:style w:type="paragraph" w:styleId="TOC2">
    <w:name w:val="toc 2"/>
    <w:basedOn w:val="Normal"/>
    <w:next w:val="Normal"/>
    <w:autoRedefine/>
    <w:uiPriority w:val="39"/>
    <w:unhideWhenUsed/>
    <w:rsid w:val="00134C85"/>
    <w:pPr>
      <w:spacing w:after="100"/>
      <w:ind w:left="220"/>
    </w:pPr>
  </w:style>
  <w:style w:type="character" w:styleId="Hyperlink">
    <w:name w:val="Hyperlink"/>
    <w:basedOn w:val="DefaultParagraphFont"/>
    <w:uiPriority w:val="99"/>
    <w:unhideWhenUsed/>
    <w:rsid w:val="00134C85"/>
    <w:rPr>
      <w:color w:val="0000FF"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2D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7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92D76"/>
    <w:rPr>
      <w:b/>
      <w:bCs/>
    </w:rPr>
  </w:style>
  <w:style w:type="character" w:customStyle="1" w:styleId="CommentSubjectChar">
    <w:name w:val="Comment Subject Char"/>
    <w:basedOn w:val="CommentTextChar"/>
    <w:link w:val="CommentSubject"/>
    <w:uiPriority w:val="99"/>
    <w:semiHidden/>
    <w:rsid w:val="00392D76"/>
    <w:rPr>
      <w:b/>
      <w:bCs/>
      <w:sz w:val="20"/>
      <w:szCs w:val="20"/>
    </w:rPr>
  </w:style>
  <w:style w:type="paragraph" w:customStyle="1" w:styleId="abcdDefinition">
    <w:name w:val="(a) (b) (c) (d) Definition"/>
    <w:basedOn w:val="Normal"/>
    <w:rsid w:val="00E947C9"/>
    <w:pPr>
      <w:numPr>
        <w:numId w:val="4"/>
      </w:numPr>
      <w:tabs>
        <w:tab w:val="left" w:pos="851"/>
      </w:tabs>
      <w:spacing w:after="240" w:line="240" w:lineRule="auto"/>
    </w:pPr>
    <w:rPr>
      <w:rFonts w:ascii="Arial" w:eastAsia="Arial" w:hAnsi="Arial" w:cs="Arial"/>
      <w:sz w:val="24"/>
      <w:szCs w:val="24"/>
      <w:lang w:val="en-US" w:eastAsia="zh-CN"/>
    </w:rPr>
  </w:style>
  <w:style w:type="paragraph" w:styleId="Header">
    <w:name w:val="header"/>
    <w:basedOn w:val="Normal"/>
    <w:link w:val="HeaderChar"/>
    <w:uiPriority w:val="99"/>
    <w:unhideWhenUsed/>
    <w:rsid w:val="000263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63A1"/>
  </w:style>
  <w:style w:type="paragraph" w:styleId="Footer">
    <w:name w:val="footer"/>
    <w:basedOn w:val="Normal"/>
    <w:link w:val="FooterChar"/>
    <w:uiPriority w:val="99"/>
    <w:unhideWhenUsed/>
    <w:rsid w:val="000263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63A1"/>
  </w:style>
  <w:style w:type="paragraph" w:customStyle="1" w:styleId="ScheduleL1">
    <w:name w:val="Schedule L1"/>
    <w:basedOn w:val="Normal"/>
    <w:rsid w:val="00F65E87"/>
    <w:pPr>
      <w:keepNext/>
      <w:numPr>
        <w:numId w:val="5"/>
      </w:numPr>
      <w:adjustRightInd w:val="0"/>
      <w:spacing w:before="120" w:after="240" w:line="240" w:lineRule="auto"/>
      <w:jc w:val="both"/>
      <w:outlineLvl w:val="0"/>
    </w:pPr>
    <w:rPr>
      <w:rFonts w:eastAsia="STZhongsong" w:cs="Verdana"/>
      <w:b/>
      <w:caps/>
      <w:szCs w:val="20"/>
      <w:lang w:val="en-US" w:eastAsia="zh-CN"/>
    </w:rPr>
  </w:style>
  <w:style w:type="paragraph" w:customStyle="1" w:styleId="ScheduleL2">
    <w:name w:val="Schedule L2"/>
    <w:basedOn w:val="Normal"/>
    <w:rsid w:val="00F65E87"/>
    <w:pPr>
      <w:numPr>
        <w:ilvl w:val="1"/>
        <w:numId w:val="5"/>
      </w:numPr>
      <w:tabs>
        <w:tab w:val="left" w:pos="993"/>
      </w:tabs>
      <w:adjustRightInd w:val="0"/>
      <w:spacing w:before="120" w:after="120" w:line="240" w:lineRule="auto"/>
      <w:jc w:val="both"/>
      <w:outlineLvl w:val="1"/>
    </w:pPr>
    <w:rPr>
      <w:rFonts w:eastAsia="STZhongsong" w:cs="Verdana"/>
      <w:szCs w:val="20"/>
      <w:lang w:val="en-US" w:eastAsia="zh-CN"/>
    </w:rPr>
  </w:style>
  <w:style w:type="paragraph" w:customStyle="1" w:styleId="ScheduleL3">
    <w:name w:val="Schedule L3"/>
    <w:basedOn w:val="Normal"/>
    <w:rsid w:val="00F65E87"/>
    <w:pPr>
      <w:numPr>
        <w:ilvl w:val="2"/>
        <w:numId w:val="5"/>
      </w:numPr>
      <w:adjustRightInd w:val="0"/>
      <w:spacing w:before="120" w:after="120" w:line="240" w:lineRule="auto"/>
      <w:jc w:val="both"/>
      <w:outlineLvl w:val="2"/>
    </w:pPr>
    <w:rPr>
      <w:rFonts w:eastAsia="STZhongsong" w:cs="Verdana"/>
      <w:szCs w:val="20"/>
      <w:lang w:val="en-US" w:eastAsia="zh-CN"/>
    </w:rPr>
  </w:style>
  <w:style w:type="paragraph" w:customStyle="1" w:styleId="ScheduleL4">
    <w:name w:val="Schedule L4"/>
    <w:basedOn w:val="Normal"/>
    <w:rsid w:val="00F65E87"/>
    <w:pPr>
      <w:numPr>
        <w:ilvl w:val="3"/>
        <w:numId w:val="5"/>
      </w:numPr>
      <w:adjustRightInd w:val="0"/>
      <w:spacing w:before="120" w:after="120" w:line="240" w:lineRule="auto"/>
      <w:jc w:val="both"/>
      <w:outlineLvl w:val="3"/>
    </w:pPr>
    <w:rPr>
      <w:rFonts w:eastAsia="STZhongsong" w:cs="Verdana"/>
      <w:szCs w:val="20"/>
      <w:lang w:val="en-US" w:eastAsia="zh-CN"/>
    </w:rPr>
  </w:style>
  <w:style w:type="paragraph" w:customStyle="1" w:styleId="ScheduleL5">
    <w:name w:val="Schedule L5"/>
    <w:basedOn w:val="Normal"/>
    <w:rsid w:val="00F65E87"/>
    <w:pPr>
      <w:numPr>
        <w:ilvl w:val="4"/>
        <w:numId w:val="5"/>
      </w:numPr>
      <w:adjustRightInd w:val="0"/>
      <w:spacing w:after="240" w:line="240" w:lineRule="auto"/>
      <w:jc w:val="both"/>
      <w:outlineLvl w:val="4"/>
    </w:pPr>
    <w:rPr>
      <w:rFonts w:ascii="Verdana" w:eastAsia="STZhongsong" w:hAnsi="Verdana" w:cs="Verdana"/>
      <w:szCs w:val="20"/>
      <w:lang w:val="en-US" w:eastAsia="zh-CN"/>
    </w:rPr>
  </w:style>
  <w:style w:type="paragraph" w:customStyle="1" w:styleId="ScheduleL6">
    <w:name w:val="Schedule L6"/>
    <w:basedOn w:val="Normal"/>
    <w:rsid w:val="00F65E87"/>
    <w:pPr>
      <w:numPr>
        <w:ilvl w:val="5"/>
        <w:numId w:val="5"/>
      </w:numPr>
      <w:overflowPunct w:val="0"/>
      <w:autoSpaceDE w:val="0"/>
      <w:autoSpaceDN w:val="0"/>
      <w:adjustRightInd w:val="0"/>
      <w:spacing w:after="240" w:line="240" w:lineRule="auto"/>
      <w:jc w:val="both"/>
      <w:textAlignment w:val="baseline"/>
      <w:outlineLvl w:val="5"/>
    </w:pPr>
    <w:rPr>
      <w:rFonts w:ascii="Verdana" w:eastAsia="STZhongsong" w:hAnsi="Verdana" w:cs="Arial"/>
      <w:szCs w:val="20"/>
      <w:lang w:val="en-US" w:eastAsia="zh-CN"/>
    </w:rPr>
  </w:style>
  <w:style w:type="paragraph" w:customStyle="1" w:styleId="ScheduleL7">
    <w:name w:val="Schedule L7"/>
    <w:basedOn w:val="Normal"/>
    <w:rsid w:val="00F65E87"/>
    <w:pPr>
      <w:numPr>
        <w:ilvl w:val="6"/>
        <w:numId w:val="5"/>
      </w:numPr>
      <w:overflowPunct w:val="0"/>
      <w:autoSpaceDE w:val="0"/>
      <w:autoSpaceDN w:val="0"/>
      <w:adjustRightInd w:val="0"/>
      <w:spacing w:after="240" w:line="240" w:lineRule="auto"/>
      <w:jc w:val="both"/>
      <w:textAlignment w:val="baseline"/>
      <w:outlineLvl w:val="6"/>
    </w:pPr>
    <w:rPr>
      <w:rFonts w:ascii="Verdana" w:eastAsia="STZhongsong" w:hAnsi="Verdana" w:cs="Arial"/>
      <w:szCs w:val="20"/>
      <w:lang w:val="en-US" w:eastAsia="zh-CN"/>
    </w:rPr>
  </w:style>
  <w:style w:type="paragraph" w:customStyle="1" w:styleId="ScheduleL8">
    <w:name w:val="Schedule L8"/>
    <w:basedOn w:val="Normal"/>
    <w:rsid w:val="00F65E87"/>
    <w:pPr>
      <w:numPr>
        <w:ilvl w:val="7"/>
        <w:numId w:val="5"/>
      </w:numPr>
      <w:overflowPunct w:val="0"/>
      <w:autoSpaceDE w:val="0"/>
      <w:autoSpaceDN w:val="0"/>
      <w:adjustRightInd w:val="0"/>
      <w:spacing w:after="240" w:line="240" w:lineRule="auto"/>
      <w:jc w:val="both"/>
      <w:textAlignment w:val="baseline"/>
      <w:outlineLvl w:val="7"/>
    </w:pPr>
    <w:rPr>
      <w:rFonts w:ascii="Verdana" w:eastAsia="STZhongsong" w:hAnsi="Verdana" w:cs="Arial"/>
      <w:szCs w:val="20"/>
      <w:lang w:val="en-US" w:eastAsia="zh-CN"/>
    </w:rPr>
  </w:style>
  <w:style w:type="paragraph" w:customStyle="1" w:styleId="ScheduleL9">
    <w:name w:val="Schedule L9"/>
    <w:basedOn w:val="Normal"/>
    <w:rsid w:val="00F65E87"/>
    <w:pPr>
      <w:numPr>
        <w:ilvl w:val="8"/>
        <w:numId w:val="5"/>
      </w:numPr>
      <w:overflowPunct w:val="0"/>
      <w:autoSpaceDE w:val="0"/>
      <w:autoSpaceDN w:val="0"/>
      <w:adjustRightInd w:val="0"/>
      <w:spacing w:after="240" w:line="240" w:lineRule="auto"/>
      <w:jc w:val="both"/>
      <w:textAlignment w:val="baseline"/>
      <w:outlineLvl w:val="8"/>
    </w:pPr>
    <w:rPr>
      <w:rFonts w:ascii="Verdana" w:eastAsia="STZhongsong" w:hAnsi="Verdana" w:cs="Arial"/>
      <w:szCs w:val="20"/>
      <w:lang w:val="en-US"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tJBfEz8Ppl7XMo0FpK5W4azKig==">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7839</Words>
  <Characters>44687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Aspden</dc:creator>
  <cp:lastModifiedBy>Isobel Hughes</cp:lastModifiedBy>
  <cp:revision>2</cp:revision>
  <dcterms:created xsi:type="dcterms:W3CDTF">2022-11-07T14:56:00Z</dcterms:created>
  <dcterms:modified xsi:type="dcterms:W3CDTF">2022-11-07T14:56:00Z</dcterms:modified>
</cp:coreProperties>
</file>